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39" w:rsidRDefault="00E91739" w:rsidP="00E91739">
      <w:pPr>
        <w:jc w:val="both"/>
      </w:pPr>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tblPr>
      <w:tblGrid>
        <w:gridCol w:w="5054"/>
        <w:gridCol w:w="4054"/>
      </w:tblGrid>
      <w:tr w:rsidR="00E91739" w:rsidTr="00DD70F0">
        <w:trPr>
          <w:trHeight w:val="1125"/>
        </w:trPr>
        <w:tc>
          <w:tcPr>
            <w:tcW w:w="5054" w:type="dxa"/>
          </w:tcPr>
          <w:p w:rsidR="00E91739" w:rsidRDefault="00E91739" w:rsidP="00DD70F0">
            <w:pPr>
              <w:pStyle w:val="Header"/>
              <w:rPr>
                <w:rFonts w:ascii="Arial" w:hAnsi="Arial"/>
                <w:b/>
                <w:sz w:val="22"/>
              </w:rPr>
            </w:pPr>
            <w:r>
              <w:rPr>
                <w:rFonts w:ascii="Arial" w:hAnsi="Arial"/>
                <w:b/>
                <w:sz w:val="22"/>
              </w:rPr>
              <w:t>*PART 1 – PUBLIC DOCUMENT</w:t>
            </w:r>
          </w:p>
          <w:p w:rsidR="00E91739" w:rsidRDefault="00E91739" w:rsidP="00DD70F0">
            <w:pPr>
              <w:pStyle w:val="Header"/>
              <w:rPr>
                <w:rFonts w:ascii="Arial" w:hAnsi="Arial"/>
                <w:sz w:val="22"/>
              </w:rPr>
            </w:pPr>
          </w:p>
          <w:p w:rsidR="00E91739" w:rsidRDefault="00E91739" w:rsidP="00DD70F0">
            <w:pPr>
              <w:pStyle w:val="Header"/>
              <w:rPr>
                <w:rFonts w:ascii="Arial" w:hAnsi="Arial"/>
                <w:b/>
                <w:sz w:val="22"/>
              </w:rPr>
            </w:pPr>
          </w:p>
        </w:tc>
        <w:tc>
          <w:tcPr>
            <w:tcW w:w="4054" w:type="dxa"/>
          </w:tcPr>
          <w:p w:rsidR="00E91739" w:rsidRDefault="00E91739" w:rsidP="00DD70F0">
            <w:pPr>
              <w:jc w:val="center"/>
              <w:rPr>
                <w:b/>
              </w:rPr>
            </w:pPr>
            <w:r>
              <w:rPr>
                <w:b/>
              </w:rPr>
              <w:t>AGENDA ITEM No.</w:t>
            </w:r>
          </w:p>
          <w:p w:rsidR="00E91739" w:rsidRDefault="00E91739" w:rsidP="00DD70F0">
            <w:pPr>
              <w:jc w:val="center"/>
              <w:rPr>
                <w:b/>
              </w:rPr>
            </w:pPr>
          </w:p>
          <w:p w:rsidR="00E91739" w:rsidRDefault="001D15EB" w:rsidP="00DD70F0">
            <w:pPr>
              <w:jc w:val="center"/>
              <w:rPr>
                <w:b/>
                <w:sz w:val="72"/>
              </w:rPr>
            </w:pPr>
            <w:r>
              <w:rPr>
                <w:b/>
                <w:sz w:val="72"/>
              </w:rPr>
              <w:t>14A</w:t>
            </w:r>
          </w:p>
        </w:tc>
      </w:tr>
    </w:tbl>
    <w:p w:rsidR="00E91739" w:rsidRDefault="00E91739" w:rsidP="00E91739">
      <w:pPr>
        <w:pStyle w:val="Heading3"/>
        <w:pBdr>
          <w:top w:val="none" w:sz="0" w:space="0" w:color="auto"/>
          <w:left w:val="none" w:sz="0" w:space="0" w:color="auto"/>
          <w:bottom w:val="none" w:sz="0" w:space="0" w:color="auto"/>
          <w:right w:val="none" w:sz="0" w:space="0" w:color="auto"/>
        </w:pBdr>
      </w:pPr>
    </w:p>
    <w:p w:rsidR="00E91739" w:rsidRPr="00B2037E" w:rsidRDefault="001D15EB" w:rsidP="001D15EB">
      <w:pPr>
        <w:pStyle w:val="Heading3"/>
        <w:pBdr>
          <w:top w:val="none" w:sz="0" w:space="0" w:color="auto"/>
          <w:left w:val="none" w:sz="0" w:space="0" w:color="auto"/>
          <w:bottom w:val="none" w:sz="0" w:space="0" w:color="auto"/>
          <w:right w:val="none" w:sz="0" w:space="0" w:color="auto"/>
        </w:pBdr>
        <w:jc w:val="both"/>
      </w:pPr>
      <w:r>
        <w:t>ADDENDUM</w:t>
      </w:r>
      <w:r w:rsidR="00E91739">
        <w:t xml:space="preserve"> REPORT:  NORTH HERTFORDSHIRE MUSEUM &amp; COMMUNITY FACILITY AT HITCHIN TOWN HALL</w:t>
      </w:r>
    </w:p>
    <w:p w:rsidR="00E91739" w:rsidRDefault="00E91739" w:rsidP="00E91739"/>
    <w:p w:rsidR="00E91739" w:rsidRPr="001D15EB" w:rsidRDefault="00E91739" w:rsidP="001D15EB">
      <w:pPr>
        <w:jc w:val="both"/>
      </w:pPr>
      <w:r w:rsidRPr="001D15EB">
        <w:t>REPORT OF THE STRATEGIC DIRECTOR OF CUSTOM</w:t>
      </w:r>
      <w:r w:rsidR="001D15EB">
        <w:t>ER SERVICES &amp; PROJECT EXECUTIVE</w:t>
      </w:r>
    </w:p>
    <w:p w:rsidR="00E91739" w:rsidRPr="001D15EB" w:rsidRDefault="00E91739" w:rsidP="00E91739">
      <w:r w:rsidRPr="001D15EB">
        <w:t>PORTFOLIO HOLDER:  COUNCILLOR TONY HUNTER</w:t>
      </w:r>
    </w:p>
    <w:p w:rsidR="00365856" w:rsidRDefault="00365856"/>
    <w:p w:rsidR="00844CED" w:rsidRDefault="00844CED">
      <w:pPr>
        <w:numPr>
          <w:ilvl w:val="0"/>
          <w:numId w:val="4"/>
        </w:numPr>
        <w:rPr>
          <w:b/>
        </w:rPr>
      </w:pPr>
      <w:r>
        <w:rPr>
          <w:b/>
        </w:rPr>
        <w:t>SUMMARY</w:t>
      </w:r>
    </w:p>
    <w:p w:rsidR="00844CED" w:rsidRDefault="00844CED">
      <w:pPr>
        <w:rPr>
          <w:b/>
        </w:rPr>
      </w:pPr>
    </w:p>
    <w:p w:rsidR="003902F3" w:rsidRDefault="003902F3" w:rsidP="001D15EB">
      <w:pPr>
        <w:pStyle w:val="ListParagraph"/>
        <w:numPr>
          <w:ilvl w:val="1"/>
          <w:numId w:val="4"/>
        </w:numPr>
        <w:jc w:val="both"/>
      </w:pPr>
      <w:r>
        <w:t>This supplementary report provides further information not available when the agenda for this meeting was published.</w:t>
      </w:r>
    </w:p>
    <w:p w:rsidR="003902F3" w:rsidRDefault="003902F3" w:rsidP="001D15EB">
      <w:pPr>
        <w:jc w:val="both"/>
      </w:pPr>
    </w:p>
    <w:p w:rsidR="003902F3" w:rsidRDefault="003902F3" w:rsidP="001D15EB">
      <w:pPr>
        <w:ind w:left="720" w:hanging="720"/>
        <w:jc w:val="both"/>
      </w:pPr>
      <w:r>
        <w:t>1.2</w:t>
      </w:r>
      <w:r>
        <w:tab/>
        <w:t xml:space="preserve">The report provides a further update on the current financial status of the project, the </w:t>
      </w:r>
      <w:r w:rsidR="00CF0567">
        <w:t>O</w:t>
      </w:r>
      <w:r>
        <w:t xml:space="preserve">ptions available based on this and the proposal received from Hitchin Town Hall Ltd (HTH Ltd) </w:t>
      </w:r>
    </w:p>
    <w:p w:rsidR="003902F3" w:rsidRDefault="003902F3" w:rsidP="001D15EB">
      <w:pPr>
        <w:jc w:val="both"/>
      </w:pPr>
    </w:p>
    <w:p w:rsidR="003902F3" w:rsidRDefault="003902F3" w:rsidP="001D15EB">
      <w:pPr>
        <w:ind w:left="720" w:hanging="720"/>
        <w:jc w:val="both"/>
      </w:pPr>
      <w:r>
        <w:t>1.3</w:t>
      </w:r>
      <w:r>
        <w:tab/>
        <w:t xml:space="preserve">Finally, the report provides an analysis of the overall circumstances and </w:t>
      </w:r>
      <w:r w:rsidR="00625D7C">
        <w:t xml:space="preserve">a </w:t>
      </w:r>
      <w:r>
        <w:t xml:space="preserve">revised recommendation based on this not to agree to the Hitchin Town Hall Ltd proposal and instead for the Council to operate the Town Hall pending a further review of the </w:t>
      </w:r>
      <w:r w:rsidR="00CF0567">
        <w:t>O</w:t>
      </w:r>
      <w:r>
        <w:t>ptions going forward.</w:t>
      </w:r>
    </w:p>
    <w:p w:rsidR="00844CED" w:rsidRDefault="00844CED" w:rsidP="001D15EB">
      <w:pPr>
        <w:jc w:val="both"/>
        <w:rPr>
          <w:b/>
        </w:rPr>
      </w:pPr>
    </w:p>
    <w:p w:rsidR="00844CED" w:rsidRDefault="00365856" w:rsidP="001D15EB">
      <w:pPr>
        <w:numPr>
          <w:ilvl w:val="0"/>
          <w:numId w:val="1"/>
        </w:numPr>
        <w:jc w:val="both"/>
        <w:rPr>
          <w:b/>
        </w:rPr>
      </w:pPr>
      <w:r>
        <w:rPr>
          <w:b/>
        </w:rPr>
        <w:t>RECOMMENDATIONS</w:t>
      </w:r>
    </w:p>
    <w:p w:rsidR="00844CED" w:rsidRDefault="00844CED" w:rsidP="001D15EB">
      <w:pPr>
        <w:jc w:val="both"/>
        <w:rPr>
          <w:b/>
        </w:rPr>
      </w:pPr>
    </w:p>
    <w:p w:rsidR="00844CED" w:rsidRDefault="00AE3923" w:rsidP="001D15EB">
      <w:pPr>
        <w:pStyle w:val="ListParagraph"/>
        <w:jc w:val="both"/>
      </w:pPr>
      <w:r>
        <w:t>Council is recommended to:</w:t>
      </w:r>
    </w:p>
    <w:p w:rsidR="00AE3923" w:rsidRDefault="00AE3923" w:rsidP="001D15EB">
      <w:pPr>
        <w:pStyle w:val="ListParagraph"/>
        <w:jc w:val="both"/>
      </w:pPr>
    </w:p>
    <w:p w:rsidR="00AE3923" w:rsidRDefault="00AE3923" w:rsidP="001D15EB">
      <w:pPr>
        <w:pStyle w:val="ListParagraph"/>
        <w:numPr>
          <w:ilvl w:val="1"/>
          <w:numId w:val="1"/>
        </w:numPr>
        <w:jc w:val="both"/>
      </w:pPr>
      <w:r>
        <w:t>Not agree to the proposals to vary or replace the Development Agreement subm</w:t>
      </w:r>
      <w:r w:rsidR="0050431D">
        <w:t>itted by Hitchin Town Hall Ltd.</w:t>
      </w:r>
    </w:p>
    <w:p w:rsidR="00AE3923" w:rsidRDefault="00AE3923" w:rsidP="001D15EB">
      <w:pPr>
        <w:jc w:val="both"/>
      </w:pPr>
    </w:p>
    <w:p w:rsidR="00F6420F" w:rsidRDefault="00FE3E81" w:rsidP="001D15EB">
      <w:pPr>
        <w:pStyle w:val="ListParagraph"/>
        <w:numPr>
          <w:ilvl w:val="1"/>
          <w:numId w:val="1"/>
        </w:numPr>
        <w:jc w:val="both"/>
      </w:pPr>
      <w:r>
        <w:t>Instruct officers to serve notice on Hitchin Town Hall Ltd terminating the Development Agreement in the event of non payment of their capital contribution</w:t>
      </w:r>
      <w:r w:rsidR="00966781">
        <w:t xml:space="preserve"> and, subject to this;</w:t>
      </w:r>
    </w:p>
    <w:p w:rsidR="00F6420F" w:rsidRDefault="00F6420F" w:rsidP="001D15EB">
      <w:pPr>
        <w:pStyle w:val="ListParagraph"/>
        <w:jc w:val="both"/>
      </w:pPr>
    </w:p>
    <w:p w:rsidR="00AE3923" w:rsidRDefault="00AE3923" w:rsidP="001D15EB">
      <w:pPr>
        <w:pStyle w:val="ListParagraph"/>
        <w:numPr>
          <w:ilvl w:val="1"/>
          <w:numId w:val="1"/>
        </w:numPr>
        <w:jc w:val="both"/>
      </w:pPr>
      <w:r>
        <w:t xml:space="preserve">Agree that NHDC will operate the Town Hall directly </w:t>
      </w:r>
      <w:r w:rsidR="0067093B">
        <w:t>in accordance with the general provisions of the Development Agreement</w:t>
      </w:r>
      <w:r w:rsidR="00A34975">
        <w:t xml:space="preserve">, request Cabinet approves </w:t>
      </w:r>
      <w:r w:rsidR="0067093B">
        <w:t xml:space="preserve">the necessary revenue </w:t>
      </w:r>
      <w:r w:rsidR="00966781">
        <w:t xml:space="preserve">budget </w:t>
      </w:r>
      <w:r w:rsidR="0067093B">
        <w:t xml:space="preserve">and </w:t>
      </w:r>
      <w:r w:rsidR="00022E93">
        <w:t>review</w:t>
      </w:r>
      <w:r w:rsidR="00B4315D">
        <w:t>s</w:t>
      </w:r>
      <w:r w:rsidR="00022E93">
        <w:t xml:space="preserve"> </w:t>
      </w:r>
      <w:r w:rsidR="00966781">
        <w:t xml:space="preserve">this </w:t>
      </w:r>
      <w:r w:rsidR="00022E93">
        <w:t xml:space="preserve">operating model within three years of </w:t>
      </w:r>
      <w:r w:rsidR="00B4315D">
        <w:t>opening and, subject to this:</w:t>
      </w:r>
    </w:p>
    <w:p w:rsidR="00F6420F" w:rsidRDefault="00F6420F" w:rsidP="001D15EB">
      <w:pPr>
        <w:jc w:val="both"/>
      </w:pPr>
    </w:p>
    <w:p w:rsidR="00F6420F" w:rsidRPr="00AE3923" w:rsidRDefault="00F6420F" w:rsidP="001D15EB">
      <w:pPr>
        <w:jc w:val="both"/>
      </w:pPr>
      <w:r>
        <w:t>2.4</w:t>
      </w:r>
      <w:r>
        <w:tab/>
        <w:t>Agree capital expenditure to a maximum of £138,000 for the fit out of the Town Hall.</w:t>
      </w:r>
    </w:p>
    <w:p w:rsidR="00E91739" w:rsidRDefault="00E91739" w:rsidP="001D15EB">
      <w:pPr>
        <w:jc w:val="both"/>
      </w:pPr>
    </w:p>
    <w:p w:rsidR="00844CED" w:rsidRDefault="00844CED" w:rsidP="001D15EB">
      <w:pPr>
        <w:jc w:val="both"/>
        <w:rPr>
          <w:b/>
        </w:rPr>
      </w:pPr>
      <w:r>
        <w:rPr>
          <w:b/>
        </w:rPr>
        <w:t>3.</w:t>
      </w:r>
      <w:r>
        <w:rPr>
          <w:b/>
        </w:rPr>
        <w:tab/>
      </w:r>
      <w:r w:rsidR="00365856">
        <w:rPr>
          <w:b/>
        </w:rPr>
        <w:t>REASONS FOR RECOMMENDATIONS</w:t>
      </w:r>
    </w:p>
    <w:p w:rsidR="00844CED" w:rsidRDefault="00844CED" w:rsidP="001D15EB">
      <w:pPr>
        <w:jc w:val="both"/>
      </w:pPr>
    </w:p>
    <w:p w:rsidR="00E91739" w:rsidRDefault="00E91739" w:rsidP="001D15EB">
      <w:pPr>
        <w:ind w:left="720" w:hanging="720"/>
        <w:jc w:val="both"/>
      </w:pPr>
      <w:r>
        <w:t>3.1</w:t>
      </w:r>
      <w:r>
        <w:tab/>
      </w:r>
      <w:r w:rsidR="00F6420F">
        <w:t xml:space="preserve">To enable the Council to complete the development of the North Hertfordshire Museum/Hitchin Town Hall project.   </w:t>
      </w:r>
    </w:p>
    <w:p w:rsidR="00E91739" w:rsidRDefault="00E91739" w:rsidP="001D15EB">
      <w:pPr>
        <w:jc w:val="both"/>
      </w:pPr>
    </w:p>
    <w:p w:rsidR="0090356B" w:rsidRDefault="0090356B" w:rsidP="001D15EB">
      <w:pPr>
        <w:jc w:val="both"/>
      </w:pPr>
    </w:p>
    <w:p w:rsidR="0090356B" w:rsidRDefault="0090356B" w:rsidP="001D15EB">
      <w:pPr>
        <w:jc w:val="both"/>
      </w:pPr>
    </w:p>
    <w:p w:rsidR="0090356B" w:rsidRDefault="0090356B" w:rsidP="001D15EB">
      <w:pPr>
        <w:jc w:val="both"/>
      </w:pPr>
    </w:p>
    <w:p w:rsidR="00365856" w:rsidRDefault="00844CED" w:rsidP="001D15EB">
      <w:pPr>
        <w:jc w:val="both"/>
        <w:rPr>
          <w:b/>
        </w:rPr>
      </w:pPr>
      <w:r>
        <w:rPr>
          <w:b/>
        </w:rPr>
        <w:lastRenderedPageBreak/>
        <w:t>4.</w:t>
      </w:r>
      <w:r>
        <w:rPr>
          <w:b/>
        </w:rPr>
        <w:tab/>
      </w:r>
      <w:r w:rsidR="00365856">
        <w:rPr>
          <w:b/>
        </w:rPr>
        <w:t>ALTERNATIVE OPTIONS CONSIDERED</w:t>
      </w:r>
    </w:p>
    <w:p w:rsidR="00844CED" w:rsidRDefault="00844CED" w:rsidP="001D15EB">
      <w:pPr>
        <w:jc w:val="both"/>
      </w:pPr>
    </w:p>
    <w:p w:rsidR="00FE3E81" w:rsidRDefault="00E91739" w:rsidP="001D15EB">
      <w:pPr>
        <w:ind w:left="720" w:hanging="720"/>
        <w:jc w:val="both"/>
      </w:pPr>
      <w:r>
        <w:t>4.1</w:t>
      </w:r>
      <w:r>
        <w:tab/>
      </w:r>
      <w:r w:rsidR="00FE3E81">
        <w:t xml:space="preserve">An option to recommend </w:t>
      </w:r>
      <w:proofErr w:type="gramStart"/>
      <w:r w:rsidR="00FE3E81">
        <w:t>to agree</w:t>
      </w:r>
      <w:proofErr w:type="gramEnd"/>
      <w:r w:rsidR="00FE3E81">
        <w:t xml:space="preserve"> to the proposals put forward by Hitchin Town Hall Ltd was considered. In view of the fact the proposal seeks to change substantial elements of the Development Agreement and would involve significant additional expenditure, additional risk by providing guarantees for loans and changes in the governance and operational arrangements which would mean less income opportunities for the Council, this option was not viewed as acceptable. </w:t>
      </w:r>
    </w:p>
    <w:p w:rsidR="006D1536" w:rsidRDefault="006D1536" w:rsidP="001D15EB">
      <w:pPr>
        <w:ind w:left="720" w:hanging="720"/>
        <w:jc w:val="both"/>
      </w:pPr>
    </w:p>
    <w:p w:rsidR="006D1536" w:rsidRDefault="006D1536" w:rsidP="001D15EB">
      <w:pPr>
        <w:ind w:left="720" w:hanging="720"/>
        <w:jc w:val="both"/>
      </w:pPr>
      <w:r>
        <w:t>4.2</w:t>
      </w:r>
      <w:r>
        <w:tab/>
        <w:t>Consideration was also given to rec</w:t>
      </w:r>
      <w:r w:rsidR="007A47D0">
        <w:t xml:space="preserve">ommending entering negotiations </w:t>
      </w:r>
      <w:r>
        <w:t xml:space="preserve">with Hitchin Town Hall Ltd </w:t>
      </w:r>
      <w:r w:rsidR="007A47D0">
        <w:t>to</w:t>
      </w:r>
      <w:r>
        <w:t xml:space="preserve"> seek to amend the proposals but, for the reasons given in 4.1 above, and because of the significant delay that would be entailed</w:t>
      </w:r>
      <w:r w:rsidR="0050431D">
        <w:t>,</w:t>
      </w:r>
      <w:r>
        <w:t xml:space="preserve"> and the resultant loss of service and income this option </w:t>
      </w:r>
      <w:r w:rsidR="00C757BF">
        <w:t>has not yet been pursued</w:t>
      </w:r>
      <w:r>
        <w:t xml:space="preserve">. </w:t>
      </w:r>
    </w:p>
    <w:p w:rsidR="00E91739" w:rsidRDefault="00E91739" w:rsidP="001D15EB">
      <w:pPr>
        <w:jc w:val="both"/>
      </w:pPr>
    </w:p>
    <w:p w:rsidR="00E001E7" w:rsidRDefault="00E001E7" w:rsidP="001D15EB">
      <w:pPr>
        <w:ind w:left="720" w:hanging="720"/>
        <w:jc w:val="both"/>
      </w:pPr>
      <w:r>
        <w:t>4.3</w:t>
      </w:r>
      <w:r>
        <w:tab/>
        <w:t xml:space="preserve">A number of </w:t>
      </w:r>
      <w:r w:rsidR="00CF0567">
        <w:t>O</w:t>
      </w:r>
      <w:r>
        <w:t xml:space="preserve">ptions to determine an alternative management </w:t>
      </w:r>
      <w:r w:rsidR="007A47D0">
        <w:t>arrangement</w:t>
      </w:r>
      <w:r>
        <w:t xml:space="preserve"> ar</w:t>
      </w:r>
      <w:r w:rsidR="007A47D0">
        <w:t>e considered in further detail</w:t>
      </w:r>
      <w:r>
        <w:t xml:space="preserve"> in paragraph 8.6 –</w:t>
      </w:r>
      <w:r w:rsidR="007A47D0">
        <w:t xml:space="preserve"> 8.9</w:t>
      </w:r>
      <w:r>
        <w:t xml:space="preserve"> including the recommended </w:t>
      </w:r>
      <w:r w:rsidR="001713CC">
        <w:t>O</w:t>
      </w:r>
      <w:r>
        <w:t xml:space="preserve">ption that the Town Hall is directly managed by NHDC pending consideration of longer term arrangements. </w:t>
      </w:r>
    </w:p>
    <w:p w:rsidR="00E91739" w:rsidRDefault="00E001E7" w:rsidP="001D15EB">
      <w:pPr>
        <w:jc w:val="both"/>
      </w:pPr>
      <w:r>
        <w:t xml:space="preserve"> </w:t>
      </w:r>
    </w:p>
    <w:p w:rsidR="00844CED" w:rsidRDefault="00844CED" w:rsidP="001D15EB">
      <w:pPr>
        <w:jc w:val="both"/>
        <w:rPr>
          <w:b/>
        </w:rPr>
      </w:pPr>
      <w:r>
        <w:rPr>
          <w:b/>
        </w:rPr>
        <w:t>5.</w:t>
      </w:r>
      <w:r>
        <w:rPr>
          <w:b/>
        </w:rPr>
        <w:tab/>
      </w:r>
      <w:r w:rsidR="00365856">
        <w:rPr>
          <w:b/>
        </w:rPr>
        <w:t xml:space="preserve">CONSULTATION WITH EXTERNAL ORGANISATIONS AND WARD MEMBERS </w:t>
      </w:r>
    </w:p>
    <w:p w:rsidR="00844CED" w:rsidRDefault="00844CED" w:rsidP="001D15EB">
      <w:pPr>
        <w:jc w:val="both"/>
      </w:pPr>
    </w:p>
    <w:p w:rsidR="00E91739" w:rsidRDefault="00E91739" w:rsidP="001D15EB">
      <w:pPr>
        <w:ind w:left="720" w:hanging="720"/>
        <w:jc w:val="both"/>
      </w:pPr>
      <w:r>
        <w:t>5.1</w:t>
      </w:r>
      <w:r>
        <w:tab/>
        <w:t xml:space="preserve">Consultation has been carried out with the Leader and the Portfolio Holder for Community Engagement &amp; Rural Affairs and </w:t>
      </w:r>
      <w:r w:rsidR="002B5620">
        <w:t xml:space="preserve">the </w:t>
      </w:r>
      <w:r>
        <w:t>Project Board.</w:t>
      </w:r>
    </w:p>
    <w:p w:rsidR="003902F3" w:rsidRDefault="003902F3" w:rsidP="001D15EB">
      <w:pPr>
        <w:jc w:val="both"/>
      </w:pPr>
    </w:p>
    <w:p w:rsidR="00844CED" w:rsidRDefault="00365856" w:rsidP="001D15EB">
      <w:pPr>
        <w:numPr>
          <w:ilvl w:val="0"/>
          <w:numId w:val="2"/>
        </w:numPr>
        <w:jc w:val="both"/>
        <w:rPr>
          <w:b/>
        </w:rPr>
      </w:pPr>
      <w:r>
        <w:rPr>
          <w:b/>
        </w:rPr>
        <w:t xml:space="preserve">FORWARD PLAN </w:t>
      </w:r>
    </w:p>
    <w:p w:rsidR="00E91739" w:rsidRDefault="00E91739" w:rsidP="001D15EB">
      <w:pPr>
        <w:jc w:val="both"/>
        <w:rPr>
          <w:b/>
        </w:rPr>
      </w:pPr>
    </w:p>
    <w:p w:rsidR="00E91739" w:rsidRPr="00E91739" w:rsidRDefault="00E91739" w:rsidP="001D15EB">
      <w:pPr>
        <w:ind w:left="720" w:hanging="720"/>
        <w:jc w:val="both"/>
      </w:pPr>
      <w:r w:rsidRPr="00E91739">
        <w:t>6.1</w:t>
      </w:r>
      <w:r w:rsidRPr="00E91739">
        <w:tab/>
      </w:r>
      <w:r>
        <w:t xml:space="preserve">This report does not contain a recommendation </w:t>
      </w:r>
      <w:r w:rsidRPr="00CC1707">
        <w:t>on a key decision and has not been</w:t>
      </w:r>
      <w:r>
        <w:t xml:space="preserve"> referred to in the Forward Plan.</w:t>
      </w:r>
    </w:p>
    <w:p w:rsidR="00844CED" w:rsidRDefault="00844CED" w:rsidP="001D15EB">
      <w:pPr>
        <w:jc w:val="both"/>
        <w:rPr>
          <w:b/>
        </w:rPr>
      </w:pPr>
    </w:p>
    <w:p w:rsidR="00E813BE" w:rsidRDefault="00365856" w:rsidP="001D15EB">
      <w:pPr>
        <w:numPr>
          <w:ilvl w:val="0"/>
          <w:numId w:val="2"/>
        </w:numPr>
        <w:jc w:val="both"/>
        <w:rPr>
          <w:b/>
        </w:rPr>
      </w:pPr>
      <w:r>
        <w:rPr>
          <w:b/>
        </w:rPr>
        <w:t>BACKGROUND</w:t>
      </w:r>
    </w:p>
    <w:p w:rsidR="00E813BE" w:rsidRDefault="00E813BE" w:rsidP="001D15EB">
      <w:pPr>
        <w:jc w:val="both"/>
        <w:rPr>
          <w:b/>
        </w:rPr>
      </w:pPr>
    </w:p>
    <w:p w:rsidR="00E91739" w:rsidRDefault="003902F3" w:rsidP="001D15EB">
      <w:pPr>
        <w:ind w:left="709" w:hanging="709"/>
        <w:jc w:val="both"/>
      </w:pPr>
      <w:r>
        <w:t>7.1</w:t>
      </w:r>
      <w:r>
        <w:tab/>
        <w:t>This is described in paragraph 7 of the report previously circulated.</w:t>
      </w:r>
    </w:p>
    <w:p w:rsidR="00E001E7" w:rsidRDefault="00E001E7" w:rsidP="001D15EB">
      <w:pPr>
        <w:jc w:val="both"/>
        <w:rPr>
          <w:b/>
        </w:rPr>
      </w:pPr>
    </w:p>
    <w:p w:rsidR="00844CED" w:rsidRDefault="00E91739" w:rsidP="001D15EB">
      <w:pPr>
        <w:numPr>
          <w:ilvl w:val="0"/>
          <w:numId w:val="8"/>
        </w:numPr>
        <w:jc w:val="both"/>
        <w:rPr>
          <w:b/>
        </w:rPr>
      </w:pPr>
      <w:r>
        <w:rPr>
          <w:b/>
        </w:rPr>
        <w:tab/>
        <w:t xml:space="preserve">NORTH HERTFORDSHIRE MUSEUM &amp; COMMUNITY FACILITY </w:t>
      </w:r>
    </w:p>
    <w:p w:rsidR="00844CED" w:rsidRDefault="00844CED" w:rsidP="001D15EB">
      <w:pPr>
        <w:jc w:val="both"/>
      </w:pPr>
    </w:p>
    <w:p w:rsidR="003902F3" w:rsidRPr="003902F3" w:rsidRDefault="003902F3" w:rsidP="001D15EB">
      <w:pPr>
        <w:ind w:left="720"/>
        <w:jc w:val="both"/>
        <w:rPr>
          <w:b/>
        </w:rPr>
      </w:pPr>
      <w:r>
        <w:rPr>
          <w:b/>
        </w:rPr>
        <w:t xml:space="preserve">Financial Status </w:t>
      </w:r>
    </w:p>
    <w:p w:rsidR="003902F3" w:rsidRDefault="003902F3" w:rsidP="001D15EB">
      <w:pPr>
        <w:jc w:val="both"/>
      </w:pPr>
    </w:p>
    <w:p w:rsidR="00E91739" w:rsidRDefault="00E91739" w:rsidP="001D15EB">
      <w:pPr>
        <w:ind w:left="720" w:hanging="720"/>
        <w:jc w:val="both"/>
      </w:pPr>
      <w:r>
        <w:t>8.1</w:t>
      </w:r>
      <w:r>
        <w:tab/>
        <w:t>Under the terms of the Development Agreement, Hitchin Town Hall Ltd are now obliged to pay the sum of £490,000 to the Council’s construction contractor following the issue of the Certificate of Practical Completion.  Notice of this has been served to Hitchin Town Hall Ltd and an update on the status of the payment will be provided at Council.  If payment has not been made by the due date Council, at its meeting 10 March 2015 resolved that this payment would need to be paid from Council resources in order to meet its contractual commitment to the construction contractor.</w:t>
      </w:r>
    </w:p>
    <w:p w:rsidR="00E91739" w:rsidRDefault="00E91739" w:rsidP="001D15EB">
      <w:pPr>
        <w:jc w:val="both"/>
      </w:pPr>
    </w:p>
    <w:p w:rsidR="003902F3" w:rsidRDefault="003902F3" w:rsidP="001D15EB">
      <w:pPr>
        <w:ind w:left="720" w:hanging="720"/>
        <w:jc w:val="both"/>
      </w:pPr>
      <w:r>
        <w:t>8.2</w:t>
      </w:r>
      <w:r>
        <w:tab/>
      </w:r>
      <w:r w:rsidR="002B5620">
        <w:t>The deadline for payment of this sum is 13 July 2015 and a verbal update on the status of this payment will be provided. Failure to pay this sum would constitute a clear breach of the Development Agreement and provide a potential ground for the Council to terminate the Agreement.</w:t>
      </w:r>
    </w:p>
    <w:p w:rsidR="003902F3" w:rsidRDefault="003902F3" w:rsidP="001D15EB">
      <w:pPr>
        <w:jc w:val="both"/>
      </w:pPr>
    </w:p>
    <w:p w:rsidR="00E91739" w:rsidRDefault="00E91739" w:rsidP="001D15EB">
      <w:pPr>
        <w:ind w:left="720" w:hanging="720"/>
        <w:jc w:val="both"/>
      </w:pPr>
      <w:r>
        <w:t>8.</w:t>
      </w:r>
      <w:r w:rsidR="003902F3">
        <w:t>3</w:t>
      </w:r>
      <w:r>
        <w:t xml:space="preserve"> </w:t>
      </w:r>
      <w:r>
        <w:tab/>
        <w:t xml:space="preserve">Hitchin Town Hall Ltd have confirmed that it does not currently have the ability to pay this sum or the loan of c.£17,000 </w:t>
      </w:r>
      <w:r w:rsidR="0034508C">
        <w:t xml:space="preserve">plus £1,300 interest </w:t>
      </w:r>
      <w:r>
        <w:t>provided by NHDC unless the</w:t>
      </w:r>
      <w:r w:rsidR="0034508C">
        <w:t xml:space="preserve"> SIB</w:t>
      </w:r>
      <w:r>
        <w:t xml:space="preserve"> </w:t>
      </w:r>
      <w:r w:rsidR="00C825AC">
        <w:t xml:space="preserve">(Social Investment Business) </w:t>
      </w:r>
      <w:r>
        <w:t>agrees to its proposals.</w:t>
      </w:r>
    </w:p>
    <w:p w:rsidR="003902F3" w:rsidRDefault="003902F3" w:rsidP="001D15EB">
      <w:pPr>
        <w:ind w:left="720" w:hanging="720"/>
        <w:jc w:val="both"/>
      </w:pPr>
      <w:r>
        <w:lastRenderedPageBreak/>
        <w:t>8.4</w:t>
      </w:r>
      <w:r>
        <w:tab/>
      </w:r>
      <w:r w:rsidR="00A85C30">
        <w:t>P</w:t>
      </w:r>
      <w:r>
        <w:t xml:space="preserve">aragraph 7.6 of the report already circulated outlines dialogue with Hitchin Town Hall Ltd’s funder, the </w:t>
      </w:r>
      <w:r w:rsidR="00C825AC">
        <w:t>SIB</w:t>
      </w:r>
      <w:r>
        <w:t xml:space="preserve"> whose approval would be required for Hitchin Town Hall Ltd t</w:t>
      </w:r>
      <w:r w:rsidR="00F16758">
        <w:t>o meet it</w:t>
      </w:r>
      <w:r>
        <w:t xml:space="preserve">s existing or proposed financial obligations.  The SIB </w:t>
      </w:r>
      <w:proofErr w:type="gramStart"/>
      <w:r>
        <w:t>have</w:t>
      </w:r>
      <w:proofErr w:type="gramEnd"/>
      <w:r>
        <w:t xml:space="preserve"> confirmed:</w:t>
      </w:r>
    </w:p>
    <w:p w:rsidR="00E813BE" w:rsidRDefault="00E813BE" w:rsidP="001D15EB">
      <w:pPr>
        <w:jc w:val="both"/>
      </w:pPr>
    </w:p>
    <w:p w:rsidR="00B468CF" w:rsidRPr="002C3462" w:rsidRDefault="002C3462" w:rsidP="001D15EB">
      <w:pPr>
        <w:ind w:left="720"/>
        <w:jc w:val="both"/>
        <w:rPr>
          <w:rFonts w:cs="Arial"/>
          <w:szCs w:val="22"/>
          <w:lang w:eastAsia="en-US"/>
        </w:rPr>
      </w:pPr>
      <w:r>
        <w:rPr>
          <w:rFonts w:cs="Arial"/>
          <w:i/>
        </w:rPr>
        <w:t>‘</w:t>
      </w:r>
      <w:r w:rsidR="00B468CF" w:rsidRPr="002C3462">
        <w:rPr>
          <w:rFonts w:cs="Arial"/>
          <w:i/>
          <w:iCs/>
          <w:szCs w:val="22"/>
          <w:lang w:eastAsia="en-US"/>
        </w:rPr>
        <w:t xml:space="preserve">In September 2012 the </w:t>
      </w:r>
      <w:proofErr w:type="spellStart"/>
      <w:r w:rsidR="00B468CF" w:rsidRPr="002C3462">
        <w:rPr>
          <w:rFonts w:cs="Arial"/>
          <w:i/>
          <w:iCs/>
          <w:szCs w:val="22"/>
          <w:lang w:eastAsia="en-US"/>
        </w:rPr>
        <w:t>Communitybuilders</w:t>
      </w:r>
      <w:proofErr w:type="spellEnd"/>
      <w:r w:rsidR="00B468CF" w:rsidRPr="002C3462">
        <w:rPr>
          <w:rFonts w:cs="Arial"/>
          <w:i/>
          <w:iCs/>
          <w:szCs w:val="22"/>
          <w:lang w:eastAsia="en-US"/>
        </w:rPr>
        <w:t xml:space="preserve"> Fund (the Fund) which is managed by the Social Investment Business made an investment offer to Hitchin Town Hall Limited (HTHL), secured by a legal charge over 14/15 Brand Street.</w:t>
      </w:r>
    </w:p>
    <w:p w:rsidR="00B468CF" w:rsidRPr="002C3462" w:rsidRDefault="00B468CF" w:rsidP="001D15EB">
      <w:pPr>
        <w:jc w:val="both"/>
        <w:rPr>
          <w:rFonts w:cs="Arial"/>
          <w:szCs w:val="22"/>
          <w:lang w:eastAsia="en-US"/>
        </w:rPr>
      </w:pPr>
      <w:r w:rsidRPr="002C3462">
        <w:rPr>
          <w:rFonts w:cs="Arial"/>
          <w:i/>
          <w:iCs/>
          <w:szCs w:val="22"/>
          <w:lang w:eastAsia="en-US"/>
        </w:rPr>
        <w:t> </w:t>
      </w:r>
    </w:p>
    <w:p w:rsidR="00B468CF" w:rsidRPr="002C3462" w:rsidRDefault="00B468CF" w:rsidP="001D15EB">
      <w:pPr>
        <w:ind w:left="720"/>
        <w:jc w:val="both"/>
        <w:rPr>
          <w:rFonts w:cs="Arial"/>
          <w:szCs w:val="22"/>
          <w:lang w:eastAsia="en-US"/>
        </w:rPr>
      </w:pPr>
      <w:r w:rsidRPr="002C3462">
        <w:rPr>
          <w:rFonts w:cs="Arial"/>
          <w:i/>
          <w:iCs/>
          <w:szCs w:val="22"/>
          <w:lang w:eastAsia="en-US"/>
        </w:rPr>
        <w:t>In December 2014 HTHL was formally notified that it was in default of the Investment Agreement as a consequence of several Events of Default under that agreement, which were not capable of remedy. The investment offer was therefore withdrawn and Formal Demand for repayment of the funds previously drawn issued.</w:t>
      </w:r>
    </w:p>
    <w:p w:rsidR="00B468CF" w:rsidRPr="002C3462" w:rsidRDefault="00B468CF" w:rsidP="001D15EB">
      <w:pPr>
        <w:jc w:val="both"/>
        <w:rPr>
          <w:rFonts w:cs="Arial"/>
          <w:szCs w:val="22"/>
          <w:lang w:eastAsia="en-US"/>
        </w:rPr>
      </w:pPr>
      <w:r w:rsidRPr="002C3462">
        <w:rPr>
          <w:rFonts w:cs="Arial"/>
          <w:i/>
          <w:iCs/>
          <w:szCs w:val="22"/>
          <w:lang w:eastAsia="en-US"/>
        </w:rPr>
        <w:t> </w:t>
      </w:r>
    </w:p>
    <w:p w:rsidR="00B468CF" w:rsidRPr="002C3462" w:rsidRDefault="00B468CF" w:rsidP="001D15EB">
      <w:pPr>
        <w:ind w:left="720"/>
        <w:jc w:val="both"/>
        <w:rPr>
          <w:rFonts w:cs="Arial"/>
          <w:szCs w:val="22"/>
          <w:lang w:eastAsia="en-US"/>
        </w:rPr>
      </w:pPr>
      <w:r w:rsidRPr="002C3462">
        <w:rPr>
          <w:rFonts w:cs="Arial"/>
          <w:i/>
          <w:iCs/>
          <w:szCs w:val="22"/>
          <w:lang w:eastAsia="en-US"/>
        </w:rPr>
        <w:t xml:space="preserve">Subsequently the </w:t>
      </w:r>
      <w:r w:rsidR="00C20C99" w:rsidRPr="002C3462">
        <w:rPr>
          <w:rFonts w:cs="Arial"/>
          <w:i/>
          <w:iCs/>
          <w:szCs w:val="22"/>
          <w:lang w:eastAsia="en-US"/>
        </w:rPr>
        <w:t>d</w:t>
      </w:r>
      <w:r w:rsidRPr="002C3462">
        <w:rPr>
          <w:rFonts w:cs="Arial"/>
          <w:i/>
          <w:iCs/>
          <w:szCs w:val="22"/>
          <w:lang w:eastAsia="en-US"/>
        </w:rPr>
        <w:t>irectors of HTHL requested that recovery action be deferred to enable them to formulate a proposal for consideration by North Hertfordshire District Council. The Fund agreed on the understanding that the proposal would be supported by a comprehensive business plan, for consideration initially by NHDC and subsequently by the Fund if NHDC decided it was willing to support the proposal.</w:t>
      </w:r>
    </w:p>
    <w:p w:rsidR="00B468CF" w:rsidRPr="002C3462" w:rsidRDefault="00B468CF" w:rsidP="001D15EB">
      <w:pPr>
        <w:jc w:val="both"/>
        <w:rPr>
          <w:rFonts w:cs="Arial"/>
          <w:szCs w:val="22"/>
          <w:lang w:eastAsia="en-US"/>
        </w:rPr>
      </w:pPr>
      <w:r w:rsidRPr="002C3462">
        <w:rPr>
          <w:rFonts w:cs="Arial"/>
          <w:i/>
          <w:iCs/>
          <w:szCs w:val="22"/>
          <w:lang w:eastAsia="en-US"/>
        </w:rPr>
        <w:t> </w:t>
      </w:r>
    </w:p>
    <w:p w:rsidR="00B468CF" w:rsidRPr="002C3462" w:rsidRDefault="00B468CF" w:rsidP="001D15EB">
      <w:pPr>
        <w:ind w:left="720"/>
        <w:jc w:val="both"/>
        <w:rPr>
          <w:rFonts w:cs="Arial"/>
          <w:szCs w:val="22"/>
          <w:lang w:eastAsia="en-US"/>
        </w:rPr>
      </w:pPr>
      <w:r w:rsidRPr="002C3462">
        <w:rPr>
          <w:rFonts w:cs="Arial"/>
          <w:i/>
          <w:iCs/>
          <w:szCs w:val="22"/>
          <w:lang w:eastAsia="en-US"/>
        </w:rPr>
        <w:t>Whilst HTHL has provided the Fund with a copy of the proposal presented at the mediated meeting, this was not accompanied by a business plan or indeed any other information. Furthermore no element of supporting information has been forthcoming following requests prior to and subsequent to the mediated meeting.</w:t>
      </w:r>
    </w:p>
    <w:p w:rsidR="00B468CF" w:rsidRPr="002C3462" w:rsidRDefault="00B468CF" w:rsidP="001D15EB">
      <w:pPr>
        <w:jc w:val="both"/>
        <w:rPr>
          <w:rFonts w:cs="Arial"/>
          <w:szCs w:val="22"/>
          <w:lang w:eastAsia="en-US"/>
        </w:rPr>
      </w:pPr>
      <w:r w:rsidRPr="002C3462">
        <w:rPr>
          <w:rFonts w:cs="Arial"/>
          <w:i/>
          <w:iCs/>
          <w:szCs w:val="22"/>
          <w:lang w:eastAsia="en-US"/>
        </w:rPr>
        <w:t> </w:t>
      </w:r>
    </w:p>
    <w:p w:rsidR="00C757BF" w:rsidRPr="00B468CF" w:rsidRDefault="00B468CF" w:rsidP="001D15EB">
      <w:pPr>
        <w:ind w:left="720"/>
        <w:jc w:val="both"/>
        <w:rPr>
          <w:rFonts w:cs="Arial"/>
          <w:i/>
        </w:rPr>
      </w:pPr>
      <w:r w:rsidRPr="002C3462">
        <w:rPr>
          <w:rFonts w:cs="Arial"/>
          <w:i/>
          <w:iCs/>
          <w:szCs w:val="22"/>
          <w:lang w:eastAsia="en-US"/>
        </w:rPr>
        <w:t>Therefore having granted significant time in good faith for HTHL to formulate a robust and viable proposal, the Fund has not been presented with anything, substan</w:t>
      </w:r>
      <w:r w:rsidR="002C3462">
        <w:rPr>
          <w:rFonts w:cs="Arial"/>
          <w:i/>
          <w:iCs/>
          <w:szCs w:val="22"/>
          <w:lang w:eastAsia="en-US"/>
        </w:rPr>
        <w:t>tive or otherwise, to consider</w:t>
      </w:r>
      <w:r w:rsidR="002C3462">
        <w:rPr>
          <w:rFonts w:cs="Arial"/>
          <w:i/>
        </w:rPr>
        <w:t>.’</w:t>
      </w:r>
    </w:p>
    <w:p w:rsidR="00901085" w:rsidRDefault="00901085" w:rsidP="001D15EB">
      <w:pPr>
        <w:ind w:left="720"/>
        <w:jc w:val="both"/>
      </w:pPr>
    </w:p>
    <w:p w:rsidR="003902F3" w:rsidRDefault="003902F3" w:rsidP="001D15EB">
      <w:pPr>
        <w:jc w:val="both"/>
      </w:pPr>
      <w:r>
        <w:tab/>
      </w:r>
      <w:r>
        <w:rPr>
          <w:b/>
        </w:rPr>
        <w:t xml:space="preserve">Town Hall Operating Options </w:t>
      </w:r>
    </w:p>
    <w:p w:rsidR="003902F3" w:rsidRDefault="003902F3" w:rsidP="001D15EB">
      <w:pPr>
        <w:jc w:val="both"/>
      </w:pPr>
    </w:p>
    <w:p w:rsidR="003902F3" w:rsidRDefault="003902F3" w:rsidP="001D15EB">
      <w:pPr>
        <w:ind w:left="720" w:hanging="720"/>
        <w:jc w:val="both"/>
      </w:pPr>
      <w:r>
        <w:t>8.5</w:t>
      </w:r>
      <w:r>
        <w:tab/>
        <w:t xml:space="preserve">The financial position outlined above makes it extremely unlikely that Hitchin Town Hall Ltd will be in a position to open the Town Hall as planned in October 2015. </w:t>
      </w:r>
    </w:p>
    <w:p w:rsidR="003902F3" w:rsidRDefault="003902F3" w:rsidP="001D15EB">
      <w:pPr>
        <w:ind w:left="720" w:hanging="720"/>
        <w:jc w:val="both"/>
      </w:pPr>
    </w:p>
    <w:p w:rsidR="003902F3" w:rsidRDefault="003902F3" w:rsidP="001D15EB">
      <w:pPr>
        <w:ind w:left="720" w:hanging="720"/>
        <w:jc w:val="both"/>
      </w:pPr>
      <w:r>
        <w:t>8.6</w:t>
      </w:r>
      <w:r>
        <w:tab/>
        <w:t xml:space="preserve">As a result a number of </w:t>
      </w:r>
      <w:r w:rsidR="00CF0567">
        <w:t>O</w:t>
      </w:r>
      <w:r>
        <w:t xml:space="preserve">ptions to open and manage the Town Hall without the involvement of Hitchin Town Hall Ltd have been considered and these are outlined in </w:t>
      </w:r>
      <w:r w:rsidR="000361B9">
        <w:t>T</w:t>
      </w:r>
      <w:r>
        <w:t>able 1 below:</w:t>
      </w:r>
    </w:p>
    <w:p w:rsidR="003902F3" w:rsidRDefault="003902F3" w:rsidP="001D15EB">
      <w:pPr>
        <w:ind w:left="720" w:hanging="720"/>
        <w:jc w:val="both"/>
      </w:pPr>
    </w:p>
    <w:tbl>
      <w:tblPr>
        <w:tblStyle w:val="TableGrid"/>
        <w:tblW w:w="0" w:type="auto"/>
        <w:tblInd w:w="720" w:type="dxa"/>
        <w:tblLook w:val="04A0"/>
      </w:tblPr>
      <w:tblGrid>
        <w:gridCol w:w="2908"/>
        <w:gridCol w:w="2927"/>
        <w:gridCol w:w="2877"/>
      </w:tblGrid>
      <w:tr w:rsidR="00CA4D2A" w:rsidTr="00CA4D2A">
        <w:tc>
          <w:tcPr>
            <w:tcW w:w="3144" w:type="dxa"/>
            <w:shd w:val="clear" w:color="auto" w:fill="000000" w:themeFill="text1"/>
          </w:tcPr>
          <w:p w:rsidR="00CA4D2A" w:rsidRPr="00CA4D2A" w:rsidRDefault="00CA4D2A" w:rsidP="001D15EB">
            <w:pPr>
              <w:jc w:val="both"/>
              <w:rPr>
                <w:b/>
                <w:color w:val="FFFFFF" w:themeColor="background1"/>
              </w:rPr>
            </w:pPr>
          </w:p>
          <w:p w:rsidR="00CA4D2A" w:rsidRPr="00CA4D2A" w:rsidRDefault="00CA4D2A" w:rsidP="001D15EB">
            <w:pPr>
              <w:jc w:val="both"/>
              <w:rPr>
                <w:b/>
                <w:color w:val="FFFFFF" w:themeColor="background1"/>
              </w:rPr>
            </w:pPr>
            <w:r w:rsidRPr="00CA4D2A">
              <w:rPr>
                <w:b/>
                <w:color w:val="FFFFFF" w:themeColor="background1"/>
              </w:rPr>
              <w:t xml:space="preserve">Option </w:t>
            </w:r>
          </w:p>
          <w:p w:rsidR="00CA4D2A" w:rsidRPr="00CA4D2A" w:rsidRDefault="00CA4D2A" w:rsidP="001D15EB">
            <w:pPr>
              <w:jc w:val="both"/>
              <w:rPr>
                <w:b/>
                <w:color w:val="FFFFFF" w:themeColor="background1"/>
              </w:rPr>
            </w:pPr>
          </w:p>
        </w:tc>
        <w:tc>
          <w:tcPr>
            <w:tcW w:w="3144" w:type="dxa"/>
            <w:shd w:val="clear" w:color="auto" w:fill="000000" w:themeFill="text1"/>
          </w:tcPr>
          <w:p w:rsidR="00CA4D2A" w:rsidRPr="00CA4D2A" w:rsidRDefault="00CA4D2A" w:rsidP="001D15EB">
            <w:pPr>
              <w:jc w:val="both"/>
              <w:rPr>
                <w:b/>
                <w:color w:val="FFFFFF" w:themeColor="background1"/>
              </w:rPr>
            </w:pPr>
          </w:p>
          <w:p w:rsidR="00CA4D2A" w:rsidRPr="00CA4D2A" w:rsidRDefault="00CA4D2A" w:rsidP="001D15EB">
            <w:pPr>
              <w:jc w:val="both"/>
              <w:rPr>
                <w:b/>
                <w:color w:val="FFFFFF" w:themeColor="background1"/>
              </w:rPr>
            </w:pPr>
            <w:r w:rsidRPr="00CA4D2A">
              <w:rPr>
                <w:b/>
                <w:color w:val="FFFFFF" w:themeColor="background1"/>
              </w:rPr>
              <w:t>Pros</w:t>
            </w:r>
          </w:p>
        </w:tc>
        <w:tc>
          <w:tcPr>
            <w:tcW w:w="3144" w:type="dxa"/>
            <w:shd w:val="clear" w:color="auto" w:fill="000000" w:themeFill="text1"/>
          </w:tcPr>
          <w:p w:rsidR="00CA4D2A" w:rsidRPr="00CA4D2A" w:rsidRDefault="00CA4D2A" w:rsidP="001D15EB">
            <w:pPr>
              <w:jc w:val="both"/>
              <w:rPr>
                <w:b/>
                <w:color w:val="FFFFFF" w:themeColor="background1"/>
              </w:rPr>
            </w:pPr>
          </w:p>
          <w:p w:rsidR="00CA4D2A" w:rsidRPr="00CA4D2A" w:rsidRDefault="00CA4D2A" w:rsidP="001D15EB">
            <w:pPr>
              <w:jc w:val="both"/>
              <w:rPr>
                <w:b/>
                <w:color w:val="FFFFFF" w:themeColor="background1"/>
              </w:rPr>
            </w:pPr>
            <w:r w:rsidRPr="00CA4D2A">
              <w:rPr>
                <w:b/>
                <w:color w:val="FFFFFF" w:themeColor="background1"/>
              </w:rPr>
              <w:t xml:space="preserve">Cons </w:t>
            </w:r>
          </w:p>
        </w:tc>
      </w:tr>
      <w:tr w:rsidR="00CA4D2A" w:rsidTr="00CA4D2A">
        <w:tc>
          <w:tcPr>
            <w:tcW w:w="3144" w:type="dxa"/>
          </w:tcPr>
          <w:p w:rsidR="00324454" w:rsidRDefault="00324454" w:rsidP="001D15EB">
            <w:pPr>
              <w:jc w:val="both"/>
              <w:rPr>
                <w:b/>
              </w:rPr>
            </w:pPr>
          </w:p>
          <w:p w:rsidR="00CA4D2A" w:rsidRDefault="00324454" w:rsidP="001D15EB">
            <w:pPr>
              <w:jc w:val="both"/>
              <w:rPr>
                <w:b/>
              </w:rPr>
            </w:pPr>
            <w:r>
              <w:rPr>
                <w:b/>
              </w:rPr>
              <w:t>Option 1</w:t>
            </w:r>
          </w:p>
          <w:p w:rsidR="00961ABF" w:rsidRDefault="00961ABF" w:rsidP="001D15EB">
            <w:pPr>
              <w:jc w:val="both"/>
              <w:rPr>
                <w:b/>
              </w:rPr>
            </w:pPr>
          </w:p>
          <w:p w:rsidR="00CA4D2A" w:rsidRDefault="00CA4D2A" w:rsidP="001D15EB">
            <w:pPr>
              <w:jc w:val="both"/>
            </w:pPr>
            <w:r>
              <w:t xml:space="preserve">Encourage the creation of </w:t>
            </w:r>
            <w:r w:rsidR="00A85C30">
              <w:t xml:space="preserve">new </w:t>
            </w:r>
            <w:r>
              <w:t xml:space="preserve">Charity/Limited Company </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CA4D2A" w:rsidRDefault="00A85C30" w:rsidP="001D15EB">
            <w:pPr>
              <w:pStyle w:val="ListParagraph"/>
              <w:numPr>
                <w:ilvl w:val="0"/>
                <w:numId w:val="9"/>
              </w:numPr>
              <w:jc w:val="both"/>
            </w:pPr>
            <w:r>
              <w:t>‘</w:t>
            </w:r>
            <w:r w:rsidR="00CA4D2A">
              <w:t>Like for like</w:t>
            </w:r>
            <w:r>
              <w:t>’</w:t>
            </w:r>
            <w:r w:rsidR="00CA4D2A">
              <w:t xml:space="preserve"> replacement </w:t>
            </w:r>
            <w:r>
              <w:t xml:space="preserve">operator </w:t>
            </w:r>
          </w:p>
          <w:p w:rsidR="00CA4D2A" w:rsidRDefault="00A85C30" w:rsidP="001D15EB">
            <w:pPr>
              <w:pStyle w:val="ListParagraph"/>
              <w:numPr>
                <w:ilvl w:val="0"/>
                <w:numId w:val="9"/>
              </w:numPr>
              <w:jc w:val="both"/>
            </w:pPr>
            <w:r>
              <w:t>May have lower</w:t>
            </w:r>
            <w:r w:rsidR="00CA4D2A">
              <w:t xml:space="preserve"> operating costs </w:t>
            </w:r>
          </w:p>
          <w:p w:rsidR="0020437D" w:rsidRDefault="0020437D" w:rsidP="001D15EB">
            <w:pPr>
              <w:pStyle w:val="ListParagraph"/>
              <w:numPr>
                <w:ilvl w:val="0"/>
                <w:numId w:val="9"/>
              </w:numPr>
              <w:jc w:val="both"/>
            </w:pPr>
            <w:r>
              <w:t>Operator assumes some risk</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CA4D2A" w:rsidRDefault="00CA4D2A" w:rsidP="001D15EB">
            <w:pPr>
              <w:pStyle w:val="ListParagraph"/>
              <w:numPr>
                <w:ilvl w:val="0"/>
                <w:numId w:val="9"/>
              </w:numPr>
              <w:jc w:val="both"/>
            </w:pPr>
            <w:r>
              <w:t xml:space="preserve">Time </w:t>
            </w:r>
            <w:r w:rsidR="00A85C30">
              <w:t>delay</w:t>
            </w:r>
          </w:p>
          <w:p w:rsidR="00CA4D2A" w:rsidRDefault="00CA4D2A" w:rsidP="001D15EB">
            <w:pPr>
              <w:pStyle w:val="ListParagraph"/>
              <w:numPr>
                <w:ilvl w:val="0"/>
                <w:numId w:val="9"/>
              </w:numPr>
              <w:jc w:val="both"/>
            </w:pPr>
            <w:r>
              <w:t xml:space="preserve">Capital </w:t>
            </w:r>
            <w:r w:rsidR="00A85C30">
              <w:t xml:space="preserve">investment required </w:t>
            </w:r>
          </w:p>
          <w:p w:rsidR="003878BC" w:rsidRDefault="003878BC" w:rsidP="001D15EB">
            <w:pPr>
              <w:pStyle w:val="ListParagraph"/>
              <w:numPr>
                <w:ilvl w:val="0"/>
                <w:numId w:val="9"/>
              </w:numPr>
              <w:jc w:val="both"/>
            </w:pPr>
            <w:r>
              <w:t xml:space="preserve">Unknown revenue costs </w:t>
            </w:r>
          </w:p>
          <w:p w:rsidR="00CA4D2A" w:rsidRDefault="00CA4D2A" w:rsidP="001D15EB">
            <w:pPr>
              <w:pStyle w:val="ListParagraph"/>
              <w:numPr>
                <w:ilvl w:val="0"/>
                <w:numId w:val="9"/>
              </w:numPr>
              <w:jc w:val="both"/>
            </w:pPr>
            <w:r>
              <w:t>New start-up</w:t>
            </w:r>
            <w:r w:rsidR="00A85C30">
              <w:t>,</w:t>
            </w:r>
            <w:r>
              <w:t xml:space="preserve"> no track record </w:t>
            </w:r>
          </w:p>
          <w:p w:rsidR="002C3462" w:rsidRDefault="002C3462" w:rsidP="001D15EB">
            <w:pPr>
              <w:pStyle w:val="ListParagraph"/>
              <w:ind w:left="360"/>
              <w:jc w:val="both"/>
            </w:pPr>
          </w:p>
          <w:p w:rsidR="001C050F" w:rsidRDefault="001C050F" w:rsidP="001D15EB">
            <w:pPr>
              <w:pStyle w:val="ListParagraph"/>
              <w:ind w:left="360"/>
              <w:jc w:val="both"/>
            </w:pPr>
          </w:p>
          <w:p w:rsidR="001C050F" w:rsidRDefault="001C050F" w:rsidP="0090356B">
            <w:pPr>
              <w:jc w:val="both"/>
            </w:pPr>
          </w:p>
        </w:tc>
      </w:tr>
      <w:tr w:rsidR="00CA4D2A" w:rsidTr="00CA4D2A">
        <w:trPr>
          <w:trHeight w:val="123"/>
        </w:trPr>
        <w:tc>
          <w:tcPr>
            <w:tcW w:w="3144" w:type="dxa"/>
          </w:tcPr>
          <w:p w:rsidR="00324454" w:rsidRDefault="00324454" w:rsidP="001D15EB">
            <w:pPr>
              <w:jc w:val="both"/>
              <w:rPr>
                <w:b/>
              </w:rPr>
            </w:pPr>
          </w:p>
          <w:p w:rsidR="00CA4D2A" w:rsidRDefault="00324454" w:rsidP="001D15EB">
            <w:pPr>
              <w:jc w:val="both"/>
              <w:rPr>
                <w:b/>
              </w:rPr>
            </w:pPr>
            <w:r>
              <w:rPr>
                <w:b/>
              </w:rPr>
              <w:t>Option 2</w:t>
            </w:r>
          </w:p>
          <w:p w:rsidR="00961ABF" w:rsidRDefault="00961ABF" w:rsidP="001D15EB">
            <w:pPr>
              <w:jc w:val="both"/>
              <w:rPr>
                <w:b/>
              </w:rPr>
            </w:pPr>
          </w:p>
          <w:p w:rsidR="00CA4D2A" w:rsidRDefault="00CA4D2A" w:rsidP="001D15EB">
            <w:pPr>
              <w:jc w:val="both"/>
            </w:pPr>
            <w:r>
              <w:t xml:space="preserve">Contract with existing Charity/Limited Company  </w:t>
            </w:r>
            <w:r w:rsidR="00D91C75">
              <w:t xml:space="preserve">or commercial operator </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CA4D2A" w:rsidRDefault="00A85C30" w:rsidP="001D15EB">
            <w:pPr>
              <w:pStyle w:val="ListParagraph"/>
              <w:numPr>
                <w:ilvl w:val="0"/>
                <w:numId w:val="10"/>
              </w:numPr>
              <w:jc w:val="both"/>
            </w:pPr>
            <w:r>
              <w:t>‘Like for like’ replacement operator</w:t>
            </w:r>
            <w:r w:rsidR="00CA4D2A">
              <w:t xml:space="preserve"> </w:t>
            </w:r>
          </w:p>
          <w:p w:rsidR="0020437D" w:rsidRDefault="00CA4D2A" w:rsidP="001D15EB">
            <w:pPr>
              <w:pStyle w:val="ListParagraph"/>
              <w:numPr>
                <w:ilvl w:val="0"/>
                <w:numId w:val="10"/>
              </w:numPr>
              <w:jc w:val="both"/>
            </w:pPr>
            <w:r>
              <w:t>May have experience</w:t>
            </w:r>
          </w:p>
          <w:p w:rsidR="00CA4D2A" w:rsidRDefault="0020437D" w:rsidP="001D15EB">
            <w:pPr>
              <w:pStyle w:val="ListParagraph"/>
              <w:numPr>
                <w:ilvl w:val="0"/>
                <w:numId w:val="10"/>
              </w:numPr>
              <w:jc w:val="both"/>
            </w:pPr>
            <w:r>
              <w:t>Operator assumes some risk</w:t>
            </w:r>
            <w:r w:rsidR="00CA4D2A">
              <w:t xml:space="preserve"> </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901085" w:rsidRDefault="00901085" w:rsidP="001D15EB">
            <w:pPr>
              <w:pStyle w:val="ListParagraph"/>
              <w:numPr>
                <w:ilvl w:val="0"/>
                <w:numId w:val="10"/>
              </w:numPr>
              <w:jc w:val="both"/>
            </w:pPr>
            <w:r>
              <w:t xml:space="preserve">May not involve community organisation </w:t>
            </w:r>
          </w:p>
          <w:p w:rsidR="00CA4D2A" w:rsidRDefault="00CA4D2A" w:rsidP="001D15EB">
            <w:pPr>
              <w:pStyle w:val="ListParagraph"/>
              <w:numPr>
                <w:ilvl w:val="0"/>
                <w:numId w:val="10"/>
              </w:numPr>
              <w:jc w:val="both"/>
            </w:pPr>
            <w:r>
              <w:t xml:space="preserve">Time </w:t>
            </w:r>
            <w:r w:rsidR="00A85C30">
              <w:t xml:space="preserve">delay for </w:t>
            </w:r>
            <w:r>
              <w:t xml:space="preserve"> procurement </w:t>
            </w:r>
          </w:p>
          <w:p w:rsidR="00CA4D2A" w:rsidRDefault="00CA4D2A" w:rsidP="001D15EB">
            <w:pPr>
              <w:pStyle w:val="ListParagraph"/>
              <w:numPr>
                <w:ilvl w:val="0"/>
                <w:numId w:val="10"/>
              </w:numPr>
              <w:jc w:val="both"/>
            </w:pPr>
            <w:r>
              <w:t xml:space="preserve">Capital </w:t>
            </w:r>
            <w:r w:rsidR="00A85C30">
              <w:t xml:space="preserve">investment </w:t>
            </w:r>
            <w:r>
              <w:t xml:space="preserve">required </w:t>
            </w:r>
          </w:p>
          <w:p w:rsidR="00A9334E" w:rsidRDefault="00CA4D2A" w:rsidP="001D15EB">
            <w:pPr>
              <w:pStyle w:val="ListParagraph"/>
              <w:numPr>
                <w:ilvl w:val="0"/>
                <w:numId w:val="10"/>
              </w:numPr>
              <w:jc w:val="both"/>
            </w:pPr>
            <w:r>
              <w:t xml:space="preserve">Unknown revenue costs </w:t>
            </w:r>
          </w:p>
        </w:tc>
      </w:tr>
      <w:tr w:rsidR="00CA4D2A" w:rsidTr="00CA4D2A">
        <w:trPr>
          <w:trHeight w:val="123"/>
        </w:trPr>
        <w:tc>
          <w:tcPr>
            <w:tcW w:w="3144" w:type="dxa"/>
          </w:tcPr>
          <w:p w:rsidR="00324454" w:rsidRDefault="00324454" w:rsidP="001D15EB">
            <w:pPr>
              <w:jc w:val="both"/>
              <w:rPr>
                <w:b/>
              </w:rPr>
            </w:pPr>
          </w:p>
          <w:p w:rsidR="00CA4D2A" w:rsidRDefault="00324454" w:rsidP="001D15EB">
            <w:pPr>
              <w:jc w:val="both"/>
              <w:rPr>
                <w:b/>
              </w:rPr>
            </w:pPr>
            <w:r>
              <w:rPr>
                <w:b/>
              </w:rPr>
              <w:t>Option 3</w:t>
            </w:r>
          </w:p>
          <w:p w:rsidR="00961ABF" w:rsidRPr="00324454" w:rsidRDefault="00961ABF" w:rsidP="001D15EB">
            <w:pPr>
              <w:jc w:val="both"/>
              <w:rPr>
                <w:b/>
              </w:rPr>
            </w:pPr>
          </w:p>
          <w:p w:rsidR="00CA4D2A" w:rsidRDefault="00CA4D2A" w:rsidP="001D15EB">
            <w:pPr>
              <w:jc w:val="both"/>
            </w:pPr>
            <w:r>
              <w:t xml:space="preserve">NHDC to directly manage the Town Hall </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CA4D2A" w:rsidRDefault="00CA4D2A" w:rsidP="001D15EB">
            <w:pPr>
              <w:pStyle w:val="ListParagraph"/>
              <w:numPr>
                <w:ilvl w:val="0"/>
                <w:numId w:val="11"/>
              </w:numPr>
              <w:jc w:val="both"/>
            </w:pPr>
            <w:r>
              <w:t>No</w:t>
            </w:r>
            <w:r w:rsidR="00C757BF">
              <w:t xml:space="preserve"> significant</w:t>
            </w:r>
            <w:r>
              <w:t xml:space="preserve"> extended lead in time </w:t>
            </w:r>
          </w:p>
          <w:p w:rsidR="00CA4D2A" w:rsidRDefault="00CA4D2A" w:rsidP="001D15EB">
            <w:pPr>
              <w:pStyle w:val="ListParagraph"/>
              <w:numPr>
                <w:ilvl w:val="0"/>
                <w:numId w:val="11"/>
              </w:numPr>
              <w:jc w:val="both"/>
            </w:pPr>
            <w:r>
              <w:t xml:space="preserve">Experienced management </w:t>
            </w:r>
          </w:p>
          <w:p w:rsidR="00CA4D2A" w:rsidRDefault="00CA4D2A" w:rsidP="001D15EB">
            <w:pPr>
              <w:pStyle w:val="ListParagraph"/>
              <w:numPr>
                <w:ilvl w:val="0"/>
                <w:numId w:val="11"/>
              </w:numPr>
              <w:jc w:val="both"/>
            </w:pPr>
            <w:r>
              <w:t xml:space="preserve">Possible economies for integrating with Museum </w:t>
            </w:r>
          </w:p>
          <w:p w:rsidR="00CA4D2A" w:rsidRDefault="00CA4D2A" w:rsidP="001D15EB">
            <w:pPr>
              <w:pStyle w:val="ListParagraph"/>
              <w:numPr>
                <w:ilvl w:val="0"/>
                <w:numId w:val="11"/>
              </w:numPr>
              <w:jc w:val="both"/>
            </w:pPr>
            <w:r>
              <w:t xml:space="preserve">Broadly cost neutral in revenue </w:t>
            </w:r>
            <w:r w:rsidR="00E123E3">
              <w:t xml:space="preserve">at start up and generates surplus thereafter. </w:t>
            </w:r>
          </w:p>
        </w:tc>
        <w:tc>
          <w:tcPr>
            <w:tcW w:w="3144" w:type="dxa"/>
          </w:tcPr>
          <w:p w:rsidR="00CA4D2A" w:rsidRDefault="00CA4D2A" w:rsidP="001D15EB">
            <w:pPr>
              <w:jc w:val="both"/>
            </w:pPr>
          </w:p>
          <w:p w:rsidR="00324454" w:rsidRDefault="00324454" w:rsidP="001D15EB">
            <w:pPr>
              <w:jc w:val="both"/>
            </w:pPr>
          </w:p>
          <w:p w:rsidR="00961ABF" w:rsidRDefault="00961ABF" w:rsidP="001D15EB">
            <w:pPr>
              <w:jc w:val="both"/>
            </w:pPr>
          </w:p>
          <w:p w:rsidR="00CA4D2A" w:rsidRDefault="00901085" w:rsidP="001D15EB">
            <w:pPr>
              <w:pStyle w:val="ListParagraph"/>
              <w:numPr>
                <w:ilvl w:val="0"/>
                <w:numId w:val="11"/>
              </w:numPr>
              <w:jc w:val="both"/>
            </w:pPr>
            <w:r>
              <w:t xml:space="preserve">Does not involve community organisation </w:t>
            </w:r>
          </w:p>
          <w:p w:rsidR="00CA4D2A" w:rsidRDefault="00CA4D2A" w:rsidP="001D15EB">
            <w:pPr>
              <w:pStyle w:val="ListParagraph"/>
              <w:numPr>
                <w:ilvl w:val="0"/>
                <w:numId w:val="11"/>
              </w:numPr>
              <w:jc w:val="both"/>
            </w:pPr>
            <w:r>
              <w:t xml:space="preserve">Council revenue and capital </w:t>
            </w:r>
            <w:r w:rsidR="00E123E3">
              <w:t>required</w:t>
            </w:r>
          </w:p>
          <w:p w:rsidR="00901085" w:rsidRDefault="00901085" w:rsidP="001D15EB">
            <w:pPr>
              <w:pStyle w:val="ListParagraph"/>
              <w:numPr>
                <w:ilvl w:val="0"/>
                <w:numId w:val="11"/>
              </w:numPr>
              <w:jc w:val="both"/>
            </w:pPr>
            <w:r>
              <w:t xml:space="preserve">Diversion </w:t>
            </w:r>
            <w:r w:rsidR="003878BC">
              <w:t xml:space="preserve">of </w:t>
            </w:r>
            <w:r w:rsidR="00961ABF">
              <w:t>resources</w:t>
            </w:r>
            <w:r w:rsidR="003878BC">
              <w:t xml:space="preserve"> </w:t>
            </w:r>
            <w:r>
              <w:t xml:space="preserve">from other projects </w:t>
            </w:r>
          </w:p>
          <w:p w:rsidR="00F16758" w:rsidRDefault="00F16758" w:rsidP="001D15EB">
            <w:pPr>
              <w:pStyle w:val="ListParagraph"/>
              <w:numPr>
                <w:ilvl w:val="0"/>
                <w:numId w:val="11"/>
              </w:numPr>
              <w:jc w:val="both"/>
            </w:pPr>
            <w:r>
              <w:t>Council assumes risk of making facility successful</w:t>
            </w:r>
          </w:p>
          <w:p w:rsidR="00901085" w:rsidRDefault="00901085" w:rsidP="001D15EB">
            <w:pPr>
              <w:pStyle w:val="ListParagraph"/>
              <w:ind w:left="360"/>
              <w:jc w:val="both"/>
            </w:pPr>
          </w:p>
        </w:tc>
      </w:tr>
    </w:tbl>
    <w:p w:rsidR="003902F3" w:rsidRPr="00CA4D2A" w:rsidRDefault="00CA4D2A" w:rsidP="001D15EB">
      <w:pPr>
        <w:ind w:left="720" w:hanging="720"/>
        <w:jc w:val="both"/>
        <w:rPr>
          <w:sz w:val="16"/>
          <w:szCs w:val="16"/>
        </w:rPr>
      </w:pPr>
      <w:r>
        <w:tab/>
      </w:r>
      <w:r>
        <w:rPr>
          <w:sz w:val="16"/>
          <w:szCs w:val="16"/>
        </w:rPr>
        <w:t>Table 1</w:t>
      </w:r>
      <w:r w:rsidR="00E123E3">
        <w:rPr>
          <w:sz w:val="16"/>
          <w:szCs w:val="16"/>
        </w:rPr>
        <w:t xml:space="preserve">:  Town Hall Management Options </w:t>
      </w:r>
    </w:p>
    <w:p w:rsidR="003878BC" w:rsidRDefault="003878BC" w:rsidP="001D15EB">
      <w:pPr>
        <w:jc w:val="both"/>
      </w:pPr>
    </w:p>
    <w:p w:rsidR="0020437D" w:rsidRDefault="00CA4D2A" w:rsidP="001D15EB">
      <w:pPr>
        <w:ind w:left="720" w:hanging="720"/>
        <w:jc w:val="both"/>
      </w:pPr>
      <w:r>
        <w:t>8.7</w:t>
      </w:r>
      <w:r>
        <w:tab/>
      </w:r>
      <w:r w:rsidR="0020437D">
        <w:t>Table 1 provides a high level summary of the benefits and disadvantages of each of</w:t>
      </w:r>
      <w:r w:rsidR="004075C5">
        <w:t xml:space="preserve"> </w:t>
      </w:r>
      <w:r w:rsidR="0020437D">
        <w:t xml:space="preserve">the identified operating models.  Under </w:t>
      </w:r>
      <w:r w:rsidR="001713CC">
        <w:t>O</w:t>
      </w:r>
      <w:r w:rsidR="0020437D">
        <w:t xml:space="preserve">ption 1 it is envisaged that a new charity/limited company could be created but that equally in </w:t>
      </w:r>
      <w:r w:rsidR="001713CC">
        <w:t>O</w:t>
      </w:r>
      <w:r w:rsidR="0020437D">
        <w:t xml:space="preserve">ption 2 that a contract could be entered in to with an existing charity/limited company of that sort.  Option 2 however also allows for the outsourcing of the management of the Town Hall to a wholly commercial operator but in any event both </w:t>
      </w:r>
      <w:r w:rsidR="001713CC">
        <w:t>O</w:t>
      </w:r>
      <w:r w:rsidR="0020437D">
        <w:t xml:space="preserve">ption 1 and 2 provide broadly the same benefits and dis-benefits.  The </w:t>
      </w:r>
      <w:r w:rsidR="001713CC">
        <w:t>O</w:t>
      </w:r>
      <w:r w:rsidR="0020437D">
        <w:t xml:space="preserve">ption for NHDC to directly manage the Town Hall would be achievable within the existing timescales of the project reducing the risk of the Town Hall standing unused. However, this </w:t>
      </w:r>
      <w:r w:rsidR="001713CC">
        <w:t>O</w:t>
      </w:r>
      <w:r w:rsidR="0020437D">
        <w:t xml:space="preserve">ption would require the Council to commit additional capital to the scheme although it is arguable that the capital investment required </w:t>
      </w:r>
      <w:r w:rsidR="0020437D" w:rsidRPr="00FC413A">
        <w:t>of</w:t>
      </w:r>
      <w:r w:rsidR="0020437D">
        <w:t xml:space="preserve"> external management operators would be discounted from any income receivable as such organisations would seek to recover ‘start up’ costs.</w:t>
      </w:r>
    </w:p>
    <w:p w:rsidR="00FC413A" w:rsidRDefault="00FC413A" w:rsidP="001D15EB">
      <w:pPr>
        <w:jc w:val="both"/>
      </w:pPr>
    </w:p>
    <w:p w:rsidR="00FC413A" w:rsidRDefault="00FC413A" w:rsidP="001D15EB">
      <w:pPr>
        <w:ind w:left="720" w:hanging="720"/>
        <w:jc w:val="both"/>
      </w:pPr>
      <w:r>
        <w:t>8.8</w:t>
      </w:r>
      <w:r>
        <w:tab/>
        <w:t xml:space="preserve">In considering a preferred </w:t>
      </w:r>
      <w:r w:rsidR="001713CC">
        <w:t>O</w:t>
      </w:r>
      <w:r>
        <w:t>ption it is noted that:</w:t>
      </w:r>
    </w:p>
    <w:p w:rsidR="00FC413A" w:rsidRDefault="00FC413A" w:rsidP="001D15EB">
      <w:pPr>
        <w:ind w:left="720" w:hanging="720"/>
        <w:jc w:val="both"/>
      </w:pPr>
    </w:p>
    <w:p w:rsidR="0005213A" w:rsidRDefault="0005213A" w:rsidP="001D15EB">
      <w:pPr>
        <w:pStyle w:val="ListParagraph"/>
        <w:numPr>
          <w:ilvl w:val="0"/>
          <w:numId w:val="13"/>
        </w:numPr>
        <w:jc w:val="both"/>
      </w:pPr>
      <w:r>
        <w:t xml:space="preserve">Option 1 and </w:t>
      </w:r>
      <w:r w:rsidR="00961ABF">
        <w:t>potentially O</w:t>
      </w:r>
      <w:r>
        <w:t>ption 2 could provide a ‘like for like’ solution involving a locally accountable charity or similar body.</w:t>
      </w:r>
    </w:p>
    <w:p w:rsidR="00244F14" w:rsidRDefault="00244F14" w:rsidP="001D15EB">
      <w:pPr>
        <w:ind w:left="720"/>
        <w:jc w:val="both"/>
      </w:pPr>
    </w:p>
    <w:p w:rsidR="00244F14" w:rsidRDefault="00244F14" w:rsidP="001D15EB">
      <w:pPr>
        <w:pStyle w:val="ListParagraph"/>
        <w:numPr>
          <w:ilvl w:val="0"/>
          <w:numId w:val="13"/>
        </w:numPr>
        <w:jc w:val="both"/>
      </w:pPr>
      <w:r>
        <w:t xml:space="preserve">Option 3 would allow Council to consider the medium to long term </w:t>
      </w:r>
      <w:r w:rsidR="00CF0567">
        <w:t>O</w:t>
      </w:r>
      <w:r>
        <w:t>ptions for managing the Town Hall which may involve a</w:t>
      </w:r>
      <w:r w:rsidR="00827545">
        <w:t>nother</w:t>
      </w:r>
      <w:r>
        <w:t xml:space="preserve"> locally accountable body.  Alternatively it could consider greater integration with the operation of the North Hertfordshire Museum – a development of the option which is likely to produce greater efficiencies.</w:t>
      </w:r>
    </w:p>
    <w:p w:rsidR="00244F14" w:rsidRDefault="00244F14" w:rsidP="001D15EB">
      <w:pPr>
        <w:ind w:left="1080"/>
        <w:jc w:val="both"/>
      </w:pPr>
    </w:p>
    <w:p w:rsidR="001C050F" w:rsidRDefault="001C050F" w:rsidP="001D15EB">
      <w:pPr>
        <w:ind w:left="1080"/>
        <w:jc w:val="both"/>
      </w:pPr>
    </w:p>
    <w:p w:rsidR="00FC413A" w:rsidRDefault="00FC413A" w:rsidP="001D15EB">
      <w:pPr>
        <w:pStyle w:val="ListParagraph"/>
        <w:numPr>
          <w:ilvl w:val="0"/>
          <w:numId w:val="13"/>
        </w:numPr>
        <w:jc w:val="both"/>
      </w:pPr>
      <w:r>
        <w:lastRenderedPageBreak/>
        <w:t xml:space="preserve">In </w:t>
      </w:r>
      <w:r w:rsidR="00CF0567">
        <w:t xml:space="preserve">Options </w:t>
      </w:r>
      <w:r>
        <w:t xml:space="preserve">1 and 2 there is no immediate cost certainty as both </w:t>
      </w:r>
      <w:r w:rsidR="00CF0567">
        <w:t xml:space="preserve">Options </w:t>
      </w:r>
      <w:r>
        <w:t>would be reliant on a procurement exercise or pro</w:t>
      </w:r>
      <w:r w:rsidR="003878BC">
        <w:t xml:space="preserve">cess of negotiation but </w:t>
      </w:r>
      <w:r w:rsidR="00F16758">
        <w:t>O</w:t>
      </w:r>
      <w:r w:rsidR="003878BC">
        <w:t>ption 3</w:t>
      </w:r>
      <w:r>
        <w:t xml:space="preserve"> has the benefit of offering such certainty from the outset. </w:t>
      </w:r>
    </w:p>
    <w:p w:rsidR="00FC413A" w:rsidRDefault="00FC413A" w:rsidP="001D15EB">
      <w:pPr>
        <w:jc w:val="both"/>
      </w:pPr>
    </w:p>
    <w:p w:rsidR="00FC413A" w:rsidRDefault="00FC413A" w:rsidP="001D15EB">
      <w:pPr>
        <w:pStyle w:val="ListParagraph"/>
        <w:numPr>
          <w:ilvl w:val="0"/>
          <w:numId w:val="13"/>
        </w:numPr>
        <w:jc w:val="both"/>
      </w:pPr>
      <w:r>
        <w:t xml:space="preserve">Options 1 and 2 are likely to result in significant delay </w:t>
      </w:r>
      <w:r w:rsidR="00961ABF">
        <w:t>in</w:t>
      </w:r>
      <w:r>
        <w:t xml:space="preserve"> opening the Town Hall.  This would entail additional revenue costs and loss of income for NHDC and could also impinge on Museum operations.  Option 3 would howeve</w:t>
      </w:r>
      <w:r w:rsidR="00CF0567">
        <w:t>r</w:t>
      </w:r>
      <w:r>
        <w:t>, require the Council to make additional capital contributions although third party operators are likely to seek</w:t>
      </w:r>
      <w:r w:rsidR="00244F14">
        <w:t xml:space="preserve"> to</w:t>
      </w:r>
      <w:r>
        <w:t xml:space="preserve"> recover similar contributions required under </w:t>
      </w:r>
      <w:r w:rsidR="00CF0567">
        <w:t xml:space="preserve">Options </w:t>
      </w:r>
      <w:r>
        <w:t>1 and 2 over the lifespan of any contract.</w:t>
      </w:r>
    </w:p>
    <w:p w:rsidR="00FC413A" w:rsidRDefault="00FC413A" w:rsidP="001D15EB">
      <w:pPr>
        <w:pStyle w:val="ListParagraph"/>
        <w:jc w:val="both"/>
      </w:pPr>
    </w:p>
    <w:p w:rsidR="00FC413A" w:rsidRDefault="00FC413A" w:rsidP="001D15EB">
      <w:pPr>
        <w:pStyle w:val="ListParagraph"/>
        <w:numPr>
          <w:ilvl w:val="0"/>
          <w:numId w:val="13"/>
        </w:numPr>
        <w:jc w:val="both"/>
      </w:pPr>
      <w:r>
        <w:t xml:space="preserve">Option 1 may entail a significant time delay and indeed may not achievable if individuals or organisations were not willing to form a new charity/limited company.  Option 2 would similarly entail a delay for procurement and although it is thought there is a potential market place of suitable contractors, in relative terms the contract would be small and potentially unattractive to many. </w:t>
      </w:r>
    </w:p>
    <w:p w:rsidR="00FC413A" w:rsidRDefault="00FC413A" w:rsidP="001D15EB">
      <w:pPr>
        <w:pStyle w:val="ListParagraph"/>
        <w:jc w:val="both"/>
      </w:pPr>
    </w:p>
    <w:p w:rsidR="00FC413A" w:rsidRDefault="00FC413A" w:rsidP="001D15EB">
      <w:pPr>
        <w:pStyle w:val="ListParagraph"/>
        <w:numPr>
          <w:ilvl w:val="0"/>
          <w:numId w:val="13"/>
        </w:numPr>
        <w:jc w:val="both"/>
      </w:pPr>
      <w:r>
        <w:t xml:space="preserve">Option 1 and, to a lesser extent </w:t>
      </w:r>
      <w:r w:rsidR="00707244">
        <w:t>O</w:t>
      </w:r>
      <w:r>
        <w:t>ption 2, would present risks in respect of operational costs and potentia</w:t>
      </w:r>
      <w:r w:rsidR="001E2CE3">
        <w:t>l delays in opening.</w:t>
      </w:r>
      <w:r w:rsidR="00827545">
        <w:t xml:space="preserve">  </w:t>
      </w:r>
      <w:r w:rsidR="001E2CE3">
        <w:t>Option 3</w:t>
      </w:r>
      <w:r>
        <w:t xml:space="preserve"> is likely to minimise risk </w:t>
      </w:r>
      <w:r w:rsidR="00707244">
        <w:t xml:space="preserve">of delay </w:t>
      </w:r>
      <w:r>
        <w:t>as no external p</w:t>
      </w:r>
      <w:r w:rsidR="005E34A1">
        <w:t xml:space="preserve">arty would be directly involved, it </w:t>
      </w:r>
      <w:r w:rsidR="00961ABF">
        <w:t>should</w:t>
      </w:r>
      <w:r w:rsidR="005E34A1">
        <w:t xml:space="preserve"> also generate surplus revenue.</w:t>
      </w:r>
    </w:p>
    <w:p w:rsidR="00FC413A" w:rsidRDefault="00FC413A" w:rsidP="001D15EB">
      <w:pPr>
        <w:pStyle w:val="ListParagraph"/>
        <w:jc w:val="both"/>
      </w:pPr>
    </w:p>
    <w:p w:rsidR="00CA4D2A" w:rsidRDefault="00FC413A" w:rsidP="001D15EB">
      <w:pPr>
        <w:ind w:left="720" w:hanging="720"/>
        <w:jc w:val="both"/>
      </w:pPr>
      <w:r>
        <w:t>8.9</w:t>
      </w:r>
      <w:r w:rsidR="00CA4D2A">
        <w:tab/>
      </w:r>
      <w:r w:rsidR="00152595">
        <w:t xml:space="preserve">Following consideration of these issues it is concluded that </w:t>
      </w:r>
      <w:r w:rsidR="00707244">
        <w:t>O</w:t>
      </w:r>
      <w:r w:rsidR="00152595">
        <w:t>ption 3 is the most appropriate and t</w:t>
      </w:r>
      <w:r w:rsidR="00CA4D2A">
        <w:t xml:space="preserve">he indicative costs associated with </w:t>
      </w:r>
      <w:r w:rsidR="00152595">
        <w:t xml:space="preserve">it </w:t>
      </w:r>
      <w:r w:rsidR="00CA4D2A">
        <w:t xml:space="preserve">are summarised in </w:t>
      </w:r>
      <w:r w:rsidR="000361B9">
        <w:t>T</w:t>
      </w:r>
      <w:r w:rsidR="00CA4D2A">
        <w:t xml:space="preserve">able 2 below.  These assume operating the Town Hall in accordance with the </w:t>
      </w:r>
      <w:r w:rsidR="00112610">
        <w:t xml:space="preserve">general </w:t>
      </w:r>
      <w:r w:rsidR="00CA4D2A">
        <w:t xml:space="preserve">provisions </w:t>
      </w:r>
      <w:r w:rsidR="00112610">
        <w:t xml:space="preserve">set out </w:t>
      </w:r>
      <w:r w:rsidR="00CA4D2A">
        <w:t>in the Development Agreement in which commercial activity subsidises community use.</w:t>
      </w:r>
    </w:p>
    <w:p w:rsidR="008A40FB" w:rsidRDefault="008A40FB" w:rsidP="001D15EB">
      <w:pPr>
        <w:jc w:val="both"/>
      </w:pPr>
    </w:p>
    <w:tbl>
      <w:tblPr>
        <w:tblW w:w="6252" w:type="dxa"/>
        <w:tblInd w:w="1416" w:type="dxa"/>
        <w:tblLook w:val="04A0"/>
      </w:tblPr>
      <w:tblGrid>
        <w:gridCol w:w="3340"/>
        <w:gridCol w:w="2912"/>
      </w:tblGrid>
      <w:tr w:rsidR="008A40FB" w:rsidRPr="008A40FB" w:rsidTr="008A40FB">
        <w:trPr>
          <w:trHeight w:val="300"/>
        </w:trPr>
        <w:tc>
          <w:tcPr>
            <w:tcW w:w="3340" w:type="dxa"/>
            <w:tcBorders>
              <w:top w:val="single" w:sz="4" w:space="0" w:color="auto"/>
              <w:left w:val="single" w:sz="4" w:space="0" w:color="auto"/>
              <w:bottom w:val="single" w:sz="4" w:space="0" w:color="auto"/>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Town Hall Income</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Events</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45,000.00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Hires</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151,855.00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Office Rental</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5,000.00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single" w:sz="4" w:space="0" w:color="auto"/>
              <w:right w:val="nil"/>
            </w:tcBorders>
            <w:shd w:val="clear" w:color="auto" w:fill="auto"/>
            <w:noWrap/>
            <w:vAlign w:val="bottom"/>
            <w:hideMark/>
          </w:tcPr>
          <w:p w:rsidR="008A40FB" w:rsidRPr="008A40FB" w:rsidRDefault="005F2974" w:rsidP="001D15EB">
            <w:pPr>
              <w:jc w:val="both"/>
              <w:rPr>
                <w:rFonts w:cs="Arial"/>
                <w:b/>
                <w:bCs/>
                <w:color w:val="000000"/>
                <w:szCs w:val="22"/>
              </w:rPr>
            </w:pPr>
            <w:r>
              <w:rPr>
                <w:rFonts w:cs="Arial"/>
                <w:b/>
                <w:bCs/>
                <w:color w:val="000000"/>
                <w:szCs w:val="22"/>
              </w:rPr>
              <w:t>Kitchen/</w:t>
            </w:r>
            <w:r w:rsidR="008A40FB" w:rsidRPr="008A40FB">
              <w:rPr>
                <w:rFonts w:cs="Arial"/>
                <w:b/>
                <w:bCs/>
                <w:color w:val="000000"/>
                <w:szCs w:val="22"/>
              </w:rPr>
              <w:t xml:space="preserve">Café Income </w:t>
            </w:r>
          </w:p>
        </w:tc>
        <w:tc>
          <w:tcPr>
            <w:tcW w:w="2912" w:type="dxa"/>
            <w:tcBorders>
              <w:top w:val="nil"/>
              <w:left w:val="nil"/>
              <w:bottom w:val="single" w:sz="4" w:space="0" w:color="auto"/>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5F2974" w:rsidP="001D15EB">
            <w:pPr>
              <w:jc w:val="both"/>
              <w:rPr>
                <w:rFonts w:cs="Arial"/>
                <w:color w:val="000000"/>
                <w:szCs w:val="22"/>
              </w:rPr>
            </w:pPr>
            <w:r>
              <w:rPr>
                <w:rFonts w:cs="Arial"/>
                <w:color w:val="000000"/>
                <w:szCs w:val="22"/>
              </w:rPr>
              <w:t>Kitchen/</w:t>
            </w:r>
            <w:r w:rsidR="008A40FB" w:rsidRPr="008A40FB">
              <w:rPr>
                <w:rFonts w:cs="Arial"/>
                <w:color w:val="000000"/>
                <w:szCs w:val="22"/>
              </w:rPr>
              <w:t xml:space="preserve">Café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90,000.00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Vending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46,800.00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15"/>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 xml:space="preserve">Total Income </w:t>
            </w:r>
          </w:p>
        </w:tc>
        <w:tc>
          <w:tcPr>
            <w:tcW w:w="2912" w:type="dxa"/>
            <w:tcBorders>
              <w:top w:val="single" w:sz="8" w:space="0" w:color="auto"/>
              <w:left w:val="nil"/>
              <w:bottom w:val="single" w:sz="8" w:space="0" w:color="auto"/>
              <w:right w:val="single" w:sz="8"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338,655.00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single" w:sz="4" w:space="0" w:color="auto"/>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 xml:space="preserve">Town Hall Expenditure </w:t>
            </w:r>
          </w:p>
        </w:tc>
        <w:tc>
          <w:tcPr>
            <w:tcW w:w="2912" w:type="dxa"/>
            <w:tcBorders>
              <w:top w:val="nil"/>
              <w:left w:val="nil"/>
              <w:bottom w:val="single" w:sz="4" w:space="0" w:color="auto"/>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Staffing</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50,862.00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Maintenance &amp; Energy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26,088.00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Marketing &amp; Events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35,000.00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Other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5,050.00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Default="008A40FB" w:rsidP="001D15EB">
            <w:pPr>
              <w:jc w:val="both"/>
              <w:rPr>
                <w:rFonts w:cs="Arial"/>
                <w:color w:val="000000"/>
                <w:szCs w:val="22"/>
              </w:rPr>
            </w:pPr>
            <w:r w:rsidRPr="008A40FB">
              <w:rPr>
                <w:rFonts w:cs="Arial"/>
                <w:color w:val="000000"/>
                <w:szCs w:val="22"/>
              </w:rPr>
              <w:t> </w:t>
            </w:r>
          </w:p>
          <w:p w:rsidR="0090356B" w:rsidRDefault="0090356B" w:rsidP="001D15EB">
            <w:pPr>
              <w:jc w:val="both"/>
              <w:rPr>
                <w:rFonts w:cs="Arial"/>
                <w:color w:val="000000"/>
                <w:szCs w:val="22"/>
              </w:rPr>
            </w:pPr>
          </w:p>
          <w:p w:rsidR="0090356B" w:rsidRPr="008A40FB" w:rsidRDefault="0090356B" w:rsidP="001D15EB">
            <w:pPr>
              <w:jc w:val="both"/>
              <w:rPr>
                <w:rFonts w:cs="Arial"/>
                <w:color w:val="000000"/>
                <w:szCs w:val="22"/>
              </w:rPr>
            </w:pP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single" w:sz="4" w:space="0" w:color="auto"/>
              <w:right w:val="nil"/>
            </w:tcBorders>
            <w:shd w:val="clear" w:color="auto" w:fill="auto"/>
            <w:noWrap/>
            <w:vAlign w:val="bottom"/>
            <w:hideMark/>
          </w:tcPr>
          <w:p w:rsidR="008A40FB" w:rsidRPr="005F2974" w:rsidRDefault="005F2974" w:rsidP="001D15EB">
            <w:pPr>
              <w:jc w:val="both"/>
              <w:rPr>
                <w:rFonts w:cs="Arial"/>
                <w:b/>
                <w:color w:val="000000"/>
                <w:szCs w:val="22"/>
              </w:rPr>
            </w:pPr>
            <w:r w:rsidRPr="005F2974">
              <w:rPr>
                <w:rFonts w:cs="Arial"/>
                <w:b/>
                <w:color w:val="000000"/>
                <w:szCs w:val="22"/>
              </w:rPr>
              <w:lastRenderedPageBreak/>
              <w:t>Kitchen/</w:t>
            </w:r>
            <w:r w:rsidR="008A40FB" w:rsidRPr="005F2974">
              <w:rPr>
                <w:rFonts w:cs="Arial"/>
                <w:b/>
                <w:color w:val="000000"/>
                <w:szCs w:val="22"/>
              </w:rPr>
              <w:t xml:space="preserve">Café Expenditure </w:t>
            </w:r>
          </w:p>
        </w:tc>
        <w:tc>
          <w:tcPr>
            <w:tcW w:w="2912" w:type="dxa"/>
            <w:tcBorders>
              <w:top w:val="nil"/>
              <w:left w:val="nil"/>
              <w:bottom w:val="single" w:sz="4" w:space="0" w:color="auto"/>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Staffing</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44,324.00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Maintenance &amp; Energy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22,965.00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5F2974" w:rsidP="001D15EB">
            <w:pPr>
              <w:jc w:val="both"/>
              <w:rPr>
                <w:rFonts w:cs="Arial"/>
                <w:color w:val="000000"/>
                <w:szCs w:val="22"/>
              </w:rPr>
            </w:pPr>
            <w:r>
              <w:rPr>
                <w:rFonts w:cs="Arial"/>
                <w:color w:val="000000"/>
                <w:szCs w:val="22"/>
              </w:rPr>
              <w:t>Kitchen/</w:t>
            </w:r>
            <w:r w:rsidR="008A40FB" w:rsidRPr="008A40FB">
              <w:rPr>
                <w:rFonts w:cs="Arial"/>
                <w:color w:val="000000"/>
                <w:szCs w:val="22"/>
              </w:rPr>
              <w:t>Café Stock</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40,500.00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Vending Stock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21,060.00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Marketing</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1,500.00 </w:t>
            </w:r>
          </w:p>
        </w:tc>
      </w:tr>
      <w:tr w:rsidR="008A40FB" w:rsidRPr="008A40FB" w:rsidTr="008A40FB">
        <w:trPr>
          <w:trHeight w:val="300"/>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Other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4,012.00 </w:t>
            </w:r>
          </w:p>
        </w:tc>
      </w:tr>
      <w:tr w:rsidR="008A40FB" w:rsidRPr="008A40FB" w:rsidTr="008A40FB">
        <w:trPr>
          <w:trHeight w:val="315"/>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 xml:space="preserve">Total Expenditure </w:t>
            </w:r>
          </w:p>
        </w:tc>
        <w:tc>
          <w:tcPr>
            <w:tcW w:w="2912" w:type="dxa"/>
            <w:tcBorders>
              <w:top w:val="single" w:sz="8" w:space="0" w:color="auto"/>
              <w:left w:val="nil"/>
              <w:bottom w:val="single" w:sz="8" w:space="0" w:color="auto"/>
              <w:right w:val="single" w:sz="8"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xml:space="preserve"> £                     251,361.00 </w:t>
            </w:r>
          </w:p>
        </w:tc>
      </w:tr>
      <w:tr w:rsidR="008A40FB" w:rsidRPr="008A40FB" w:rsidTr="008A40FB">
        <w:trPr>
          <w:trHeight w:val="315"/>
        </w:trPr>
        <w:tc>
          <w:tcPr>
            <w:tcW w:w="3340" w:type="dxa"/>
            <w:tcBorders>
              <w:top w:val="nil"/>
              <w:left w:val="single" w:sz="4" w:space="0" w:color="auto"/>
              <w:bottom w:val="nil"/>
              <w:right w:val="nil"/>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c>
          <w:tcPr>
            <w:tcW w:w="2912" w:type="dxa"/>
            <w:tcBorders>
              <w:top w:val="nil"/>
              <w:left w:val="nil"/>
              <w:bottom w:val="nil"/>
              <w:right w:val="single" w:sz="4" w:space="0" w:color="auto"/>
            </w:tcBorders>
            <w:shd w:val="clear" w:color="auto" w:fill="auto"/>
            <w:noWrap/>
            <w:vAlign w:val="bottom"/>
            <w:hideMark/>
          </w:tcPr>
          <w:p w:rsidR="008A40FB" w:rsidRPr="008A40FB" w:rsidRDefault="008A40FB" w:rsidP="001D15EB">
            <w:pPr>
              <w:jc w:val="both"/>
              <w:rPr>
                <w:rFonts w:cs="Arial"/>
                <w:color w:val="000000"/>
                <w:szCs w:val="22"/>
              </w:rPr>
            </w:pPr>
            <w:r w:rsidRPr="008A40FB">
              <w:rPr>
                <w:rFonts w:cs="Arial"/>
                <w:color w:val="000000"/>
                <w:szCs w:val="22"/>
              </w:rPr>
              <w:t> </w:t>
            </w:r>
          </w:p>
        </w:tc>
      </w:tr>
      <w:tr w:rsidR="008A40FB" w:rsidRPr="008A40FB" w:rsidTr="008A40FB">
        <w:trPr>
          <w:trHeight w:val="315"/>
        </w:trPr>
        <w:tc>
          <w:tcPr>
            <w:tcW w:w="3340" w:type="dxa"/>
            <w:tcBorders>
              <w:top w:val="single" w:sz="8" w:space="0" w:color="auto"/>
              <w:left w:val="single" w:sz="8" w:space="0" w:color="auto"/>
              <w:bottom w:val="single" w:sz="8" w:space="0" w:color="auto"/>
              <w:right w:val="nil"/>
            </w:tcBorders>
            <w:shd w:val="clear" w:color="auto" w:fill="auto"/>
            <w:noWrap/>
            <w:vAlign w:val="bottom"/>
            <w:hideMark/>
          </w:tcPr>
          <w:p w:rsidR="008A40FB" w:rsidRPr="008A40FB" w:rsidRDefault="008A40FB" w:rsidP="001D15EB">
            <w:pPr>
              <w:jc w:val="both"/>
              <w:rPr>
                <w:rFonts w:cs="Arial"/>
                <w:b/>
                <w:bCs/>
                <w:color w:val="000000"/>
                <w:szCs w:val="22"/>
              </w:rPr>
            </w:pPr>
            <w:r w:rsidRPr="008A40FB">
              <w:rPr>
                <w:rFonts w:cs="Arial"/>
                <w:b/>
                <w:bCs/>
                <w:color w:val="000000"/>
                <w:szCs w:val="22"/>
              </w:rPr>
              <w:t xml:space="preserve">Net Profit/Loss </w:t>
            </w:r>
          </w:p>
        </w:tc>
        <w:tc>
          <w:tcPr>
            <w:tcW w:w="2912" w:type="dxa"/>
            <w:tcBorders>
              <w:top w:val="single" w:sz="8" w:space="0" w:color="auto"/>
              <w:left w:val="nil"/>
              <w:bottom w:val="single" w:sz="8" w:space="0" w:color="auto"/>
              <w:right w:val="single" w:sz="8" w:space="0" w:color="auto"/>
            </w:tcBorders>
            <w:shd w:val="clear" w:color="auto" w:fill="auto"/>
            <w:noWrap/>
            <w:vAlign w:val="bottom"/>
            <w:hideMark/>
          </w:tcPr>
          <w:p w:rsidR="008A40FB" w:rsidRPr="008A40FB" w:rsidRDefault="00DF6180" w:rsidP="001D15EB">
            <w:pPr>
              <w:jc w:val="both"/>
              <w:rPr>
                <w:rFonts w:cs="Arial"/>
                <w:b/>
                <w:bCs/>
                <w:color w:val="000000"/>
                <w:szCs w:val="22"/>
              </w:rPr>
            </w:pPr>
            <w:r>
              <w:rPr>
                <w:rFonts w:cs="Arial"/>
                <w:b/>
                <w:bCs/>
                <w:color w:val="000000"/>
                <w:szCs w:val="22"/>
              </w:rPr>
              <w:t xml:space="preserve"> £                    </w:t>
            </w:r>
            <w:r w:rsidR="008A40FB" w:rsidRPr="008A40FB">
              <w:rPr>
                <w:rFonts w:cs="Arial"/>
                <w:b/>
                <w:bCs/>
                <w:color w:val="000000"/>
                <w:szCs w:val="22"/>
              </w:rPr>
              <w:t xml:space="preserve"> </w:t>
            </w:r>
            <w:r>
              <w:rPr>
                <w:rFonts w:cs="Arial"/>
                <w:b/>
                <w:bCs/>
                <w:color w:val="000000"/>
                <w:szCs w:val="22"/>
              </w:rPr>
              <w:t>+</w:t>
            </w:r>
            <w:r w:rsidR="008A40FB" w:rsidRPr="008A40FB">
              <w:rPr>
                <w:rFonts w:cs="Arial"/>
                <w:b/>
                <w:bCs/>
                <w:color w:val="000000"/>
                <w:szCs w:val="22"/>
              </w:rPr>
              <w:t xml:space="preserve"> 87,294.00 </w:t>
            </w:r>
          </w:p>
        </w:tc>
      </w:tr>
    </w:tbl>
    <w:p w:rsidR="005877AB" w:rsidRDefault="005877AB" w:rsidP="001D15EB">
      <w:pPr>
        <w:jc w:val="both"/>
        <w:rPr>
          <w:sz w:val="16"/>
          <w:szCs w:val="16"/>
        </w:rPr>
      </w:pPr>
    </w:p>
    <w:p w:rsidR="00CA4D2A" w:rsidRPr="00CA4D2A" w:rsidRDefault="005877AB" w:rsidP="001D15EB">
      <w:pPr>
        <w:jc w:val="both"/>
        <w:rPr>
          <w:sz w:val="16"/>
          <w:szCs w:val="16"/>
        </w:rPr>
      </w:pPr>
      <w:r>
        <w:rPr>
          <w:sz w:val="16"/>
          <w:szCs w:val="16"/>
        </w:rPr>
        <w:t xml:space="preserve">  </w:t>
      </w:r>
      <w:r w:rsidR="008A40FB">
        <w:rPr>
          <w:sz w:val="16"/>
          <w:szCs w:val="16"/>
        </w:rPr>
        <w:tab/>
      </w:r>
      <w:r w:rsidR="00856306">
        <w:rPr>
          <w:sz w:val="16"/>
          <w:szCs w:val="16"/>
        </w:rPr>
        <w:t xml:space="preserve">         </w:t>
      </w:r>
      <w:r>
        <w:rPr>
          <w:sz w:val="16"/>
          <w:szCs w:val="16"/>
        </w:rPr>
        <w:t xml:space="preserve">   </w:t>
      </w:r>
      <w:r w:rsidR="00CA4D2A">
        <w:rPr>
          <w:sz w:val="16"/>
          <w:szCs w:val="16"/>
        </w:rPr>
        <w:t>Table 2</w:t>
      </w:r>
      <w:r w:rsidR="00CA4D2A" w:rsidRPr="00CA4D2A">
        <w:rPr>
          <w:sz w:val="16"/>
          <w:szCs w:val="16"/>
        </w:rPr>
        <w:t xml:space="preserve"> –</w:t>
      </w:r>
      <w:r w:rsidR="00DF7957">
        <w:rPr>
          <w:sz w:val="16"/>
          <w:szCs w:val="16"/>
        </w:rPr>
        <w:t xml:space="preserve">Hitchin Town </w:t>
      </w:r>
      <w:proofErr w:type="gramStart"/>
      <w:r w:rsidR="00DF7957">
        <w:rPr>
          <w:sz w:val="16"/>
          <w:szCs w:val="16"/>
        </w:rPr>
        <w:t xml:space="preserve">Hall </w:t>
      </w:r>
      <w:r w:rsidR="00DA16B4">
        <w:rPr>
          <w:sz w:val="16"/>
          <w:szCs w:val="16"/>
        </w:rPr>
        <w:t xml:space="preserve"> estimated</w:t>
      </w:r>
      <w:proofErr w:type="gramEnd"/>
      <w:r w:rsidR="00DA16B4">
        <w:rPr>
          <w:sz w:val="16"/>
          <w:szCs w:val="16"/>
        </w:rPr>
        <w:t xml:space="preserve"> </w:t>
      </w:r>
      <w:r w:rsidR="00CA4D2A" w:rsidRPr="00CA4D2A">
        <w:rPr>
          <w:sz w:val="16"/>
          <w:szCs w:val="16"/>
        </w:rPr>
        <w:t xml:space="preserve"> </w:t>
      </w:r>
      <w:r w:rsidR="00DA16B4">
        <w:rPr>
          <w:sz w:val="16"/>
          <w:szCs w:val="16"/>
        </w:rPr>
        <w:t>I</w:t>
      </w:r>
      <w:r w:rsidR="00CA4D2A" w:rsidRPr="00CA4D2A">
        <w:rPr>
          <w:sz w:val="16"/>
          <w:szCs w:val="16"/>
        </w:rPr>
        <w:t>ncome and Expenditure Projections</w:t>
      </w:r>
      <w:r w:rsidR="00DF7957">
        <w:rPr>
          <w:sz w:val="16"/>
          <w:szCs w:val="16"/>
        </w:rPr>
        <w:t xml:space="preserve"> – NHDC managed </w:t>
      </w:r>
      <w:r w:rsidR="00EA5C35">
        <w:rPr>
          <w:sz w:val="16"/>
          <w:szCs w:val="16"/>
        </w:rPr>
        <w:t>O</w:t>
      </w:r>
      <w:r w:rsidR="00DF7957">
        <w:rPr>
          <w:sz w:val="16"/>
          <w:szCs w:val="16"/>
        </w:rPr>
        <w:t xml:space="preserve">ption </w:t>
      </w:r>
    </w:p>
    <w:p w:rsidR="00961ABF" w:rsidRDefault="00961ABF" w:rsidP="001D15EB">
      <w:pPr>
        <w:ind w:left="720" w:hanging="720"/>
        <w:jc w:val="both"/>
      </w:pPr>
    </w:p>
    <w:tbl>
      <w:tblPr>
        <w:tblpPr w:leftFromText="180" w:rightFromText="180" w:vertAnchor="text" w:horzAnchor="margin" w:tblpXSpec="center" w:tblpY="166"/>
        <w:tblW w:w="6428" w:type="dxa"/>
        <w:tblLook w:val="04A0"/>
      </w:tblPr>
      <w:tblGrid>
        <w:gridCol w:w="3516"/>
        <w:gridCol w:w="2912"/>
      </w:tblGrid>
      <w:tr w:rsidR="00856306" w:rsidRPr="00856306" w:rsidTr="00856306">
        <w:trPr>
          <w:trHeight w:val="300"/>
        </w:trPr>
        <w:tc>
          <w:tcPr>
            <w:tcW w:w="3516" w:type="dxa"/>
            <w:tcBorders>
              <w:top w:val="single" w:sz="4" w:space="0" w:color="auto"/>
              <w:left w:val="single" w:sz="4" w:space="0" w:color="auto"/>
              <w:bottom w:val="single" w:sz="4" w:space="0" w:color="auto"/>
              <w:right w:val="nil"/>
            </w:tcBorders>
            <w:shd w:val="clear" w:color="auto" w:fill="auto"/>
            <w:noWrap/>
            <w:vAlign w:val="bottom"/>
            <w:hideMark/>
          </w:tcPr>
          <w:p w:rsidR="00856306" w:rsidRPr="00856306" w:rsidRDefault="00856306" w:rsidP="001D15EB">
            <w:pPr>
              <w:jc w:val="both"/>
              <w:rPr>
                <w:rFonts w:cs="Arial"/>
                <w:b/>
                <w:bCs/>
                <w:color w:val="000000"/>
                <w:szCs w:val="22"/>
              </w:rPr>
            </w:pPr>
            <w:r w:rsidRPr="00856306">
              <w:rPr>
                <w:rFonts w:cs="Arial"/>
                <w:b/>
                <w:bCs/>
                <w:color w:val="000000"/>
                <w:szCs w:val="22"/>
              </w:rPr>
              <w:t xml:space="preserve">Area </w:t>
            </w:r>
          </w:p>
        </w:tc>
        <w:tc>
          <w:tcPr>
            <w:tcW w:w="2912" w:type="dxa"/>
            <w:tcBorders>
              <w:top w:val="single" w:sz="4" w:space="0" w:color="auto"/>
              <w:left w:val="nil"/>
              <w:bottom w:val="single" w:sz="4" w:space="0" w:color="auto"/>
              <w:right w:val="single" w:sz="4" w:space="0" w:color="auto"/>
            </w:tcBorders>
            <w:shd w:val="clear" w:color="auto" w:fill="auto"/>
            <w:noWrap/>
            <w:vAlign w:val="bottom"/>
            <w:hideMark/>
          </w:tcPr>
          <w:p w:rsidR="00856306" w:rsidRPr="00856306" w:rsidRDefault="00856306" w:rsidP="001D15EB">
            <w:pPr>
              <w:jc w:val="both"/>
              <w:rPr>
                <w:rFonts w:cs="Arial"/>
                <w:b/>
                <w:bCs/>
                <w:color w:val="000000"/>
                <w:szCs w:val="22"/>
              </w:rPr>
            </w:pPr>
            <w:r w:rsidRPr="00856306">
              <w:rPr>
                <w:rFonts w:cs="Arial"/>
                <w:b/>
                <w:bCs/>
                <w:color w:val="000000"/>
                <w:szCs w:val="22"/>
              </w:rPr>
              <w:t xml:space="preserve"> Capital Budget  </w:t>
            </w:r>
          </w:p>
        </w:tc>
      </w:tr>
      <w:tr w:rsidR="00856306" w:rsidRPr="00856306" w:rsidTr="00856306">
        <w:trPr>
          <w:trHeight w:val="300"/>
        </w:trPr>
        <w:tc>
          <w:tcPr>
            <w:tcW w:w="3516" w:type="dxa"/>
            <w:tcBorders>
              <w:top w:val="nil"/>
              <w:left w:val="single" w:sz="4" w:space="0" w:color="auto"/>
              <w:bottom w:val="nil"/>
              <w:right w:val="nil"/>
            </w:tcBorders>
            <w:shd w:val="clear" w:color="auto" w:fill="auto"/>
            <w:noWrap/>
            <w:vAlign w:val="bottom"/>
            <w:hideMark/>
          </w:tcPr>
          <w:p w:rsidR="00856306" w:rsidRPr="00856306" w:rsidRDefault="00827545" w:rsidP="001D15EB">
            <w:pPr>
              <w:jc w:val="both"/>
              <w:rPr>
                <w:rFonts w:cs="Arial"/>
                <w:color w:val="000000"/>
                <w:szCs w:val="22"/>
              </w:rPr>
            </w:pPr>
            <w:r>
              <w:rPr>
                <w:rFonts w:cs="Arial"/>
                <w:color w:val="000000"/>
                <w:szCs w:val="22"/>
              </w:rPr>
              <w:t xml:space="preserve">Café and </w:t>
            </w:r>
            <w:r w:rsidR="00856306" w:rsidRPr="00856306">
              <w:rPr>
                <w:rFonts w:cs="Arial"/>
                <w:color w:val="000000"/>
                <w:szCs w:val="22"/>
              </w:rPr>
              <w:t>Kitchen</w:t>
            </w:r>
          </w:p>
        </w:tc>
        <w:tc>
          <w:tcPr>
            <w:tcW w:w="2912" w:type="dxa"/>
            <w:tcBorders>
              <w:top w:val="nil"/>
              <w:left w:val="nil"/>
              <w:bottom w:val="nil"/>
              <w:right w:val="single" w:sz="4"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                       64,563.27 </w:t>
            </w:r>
          </w:p>
        </w:tc>
      </w:tr>
      <w:tr w:rsidR="00856306" w:rsidRPr="00856306" w:rsidTr="00856306">
        <w:trPr>
          <w:trHeight w:val="300"/>
        </w:trPr>
        <w:tc>
          <w:tcPr>
            <w:tcW w:w="3516" w:type="dxa"/>
            <w:tcBorders>
              <w:top w:val="nil"/>
              <w:left w:val="single" w:sz="4" w:space="0" w:color="auto"/>
              <w:bottom w:val="nil"/>
              <w:right w:val="nil"/>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Admin Office</w:t>
            </w:r>
          </w:p>
        </w:tc>
        <w:tc>
          <w:tcPr>
            <w:tcW w:w="2912" w:type="dxa"/>
            <w:tcBorders>
              <w:top w:val="nil"/>
              <w:left w:val="nil"/>
              <w:bottom w:val="nil"/>
              <w:right w:val="single" w:sz="4"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                         1,540.00 </w:t>
            </w:r>
          </w:p>
        </w:tc>
      </w:tr>
      <w:tr w:rsidR="00856306" w:rsidRPr="00856306" w:rsidTr="00856306">
        <w:trPr>
          <w:trHeight w:val="300"/>
        </w:trPr>
        <w:tc>
          <w:tcPr>
            <w:tcW w:w="3516" w:type="dxa"/>
            <w:tcBorders>
              <w:top w:val="nil"/>
              <w:left w:val="single" w:sz="4" w:space="0" w:color="auto"/>
              <w:bottom w:val="nil"/>
              <w:right w:val="nil"/>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Lucas Room </w:t>
            </w:r>
          </w:p>
        </w:tc>
        <w:tc>
          <w:tcPr>
            <w:tcW w:w="2912" w:type="dxa"/>
            <w:tcBorders>
              <w:top w:val="nil"/>
              <w:left w:val="nil"/>
              <w:bottom w:val="nil"/>
              <w:right w:val="single" w:sz="4"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                       13,200.00 </w:t>
            </w:r>
          </w:p>
        </w:tc>
      </w:tr>
      <w:tr w:rsidR="00856306" w:rsidRPr="00856306" w:rsidTr="00856306">
        <w:trPr>
          <w:trHeight w:val="300"/>
        </w:trPr>
        <w:tc>
          <w:tcPr>
            <w:tcW w:w="3516" w:type="dxa"/>
            <w:tcBorders>
              <w:top w:val="nil"/>
              <w:left w:val="single" w:sz="4" w:space="0" w:color="auto"/>
              <w:bottom w:val="nil"/>
              <w:right w:val="nil"/>
            </w:tcBorders>
            <w:shd w:val="clear" w:color="auto" w:fill="auto"/>
            <w:noWrap/>
            <w:vAlign w:val="bottom"/>
            <w:hideMark/>
          </w:tcPr>
          <w:p w:rsidR="00856306" w:rsidRPr="00856306" w:rsidRDefault="00856306" w:rsidP="001D15EB">
            <w:pPr>
              <w:jc w:val="both"/>
              <w:rPr>
                <w:rFonts w:cs="Arial"/>
                <w:color w:val="000000"/>
                <w:szCs w:val="22"/>
              </w:rPr>
            </w:pPr>
            <w:proofErr w:type="spellStart"/>
            <w:r w:rsidRPr="00856306">
              <w:rPr>
                <w:rFonts w:cs="Arial"/>
                <w:color w:val="000000"/>
                <w:szCs w:val="22"/>
              </w:rPr>
              <w:t>Mountford</w:t>
            </w:r>
            <w:proofErr w:type="spellEnd"/>
            <w:r w:rsidRPr="00856306">
              <w:rPr>
                <w:rFonts w:cs="Arial"/>
                <w:color w:val="000000"/>
                <w:szCs w:val="22"/>
              </w:rPr>
              <w:t xml:space="preserve"> Hall </w:t>
            </w:r>
          </w:p>
        </w:tc>
        <w:tc>
          <w:tcPr>
            <w:tcW w:w="2912" w:type="dxa"/>
            <w:tcBorders>
              <w:top w:val="nil"/>
              <w:left w:val="nil"/>
              <w:bottom w:val="nil"/>
              <w:right w:val="single" w:sz="4"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                       3</w:t>
            </w:r>
            <w:r w:rsidR="009406D1">
              <w:rPr>
                <w:rFonts w:cs="Arial"/>
                <w:color w:val="000000"/>
                <w:szCs w:val="22"/>
              </w:rPr>
              <w:t>8</w:t>
            </w:r>
            <w:r w:rsidRPr="00856306">
              <w:rPr>
                <w:rFonts w:cs="Arial"/>
                <w:color w:val="000000"/>
                <w:szCs w:val="22"/>
              </w:rPr>
              <w:t xml:space="preserve">,435.00 </w:t>
            </w:r>
          </w:p>
        </w:tc>
      </w:tr>
      <w:tr w:rsidR="00856306" w:rsidRPr="00856306" w:rsidTr="00856306">
        <w:trPr>
          <w:trHeight w:val="315"/>
        </w:trPr>
        <w:tc>
          <w:tcPr>
            <w:tcW w:w="3516" w:type="dxa"/>
            <w:tcBorders>
              <w:top w:val="nil"/>
              <w:left w:val="single" w:sz="4" w:space="0" w:color="auto"/>
              <w:bottom w:val="nil"/>
              <w:right w:val="nil"/>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General </w:t>
            </w:r>
          </w:p>
        </w:tc>
        <w:tc>
          <w:tcPr>
            <w:tcW w:w="2912" w:type="dxa"/>
            <w:tcBorders>
              <w:top w:val="nil"/>
              <w:left w:val="nil"/>
              <w:bottom w:val="nil"/>
              <w:right w:val="single" w:sz="4"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                       20,246.75 </w:t>
            </w:r>
          </w:p>
        </w:tc>
      </w:tr>
      <w:tr w:rsidR="00856306" w:rsidRPr="00856306" w:rsidTr="00856306">
        <w:trPr>
          <w:trHeight w:val="315"/>
        </w:trPr>
        <w:tc>
          <w:tcPr>
            <w:tcW w:w="3516" w:type="dxa"/>
            <w:tcBorders>
              <w:top w:val="single" w:sz="8" w:space="0" w:color="auto"/>
              <w:left w:val="single" w:sz="8" w:space="0" w:color="auto"/>
              <w:bottom w:val="single" w:sz="8" w:space="0" w:color="auto"/>
              <w:right w:val="nil"/>
            </w:tcBorders>
            <w:shd w:val="clear" w:color="auto" w:fill="auto"/>
            <w:noWrap/>
            <w:vAlign w:val="bottom"/>
            <w:hideMark/>
          </w:tcPr>
          <w:p w:rsidR="00856306" w:rsidRPr="00856306" w:rsidRDefault="00856306" w:rsidP="001D15EB">
            <w:pPr>
              <w:jc w:val="both"/>
              <w:rPr>
                <w:rFonts w:cs="Arial"/>
                <w:b/>
                <w:bCs/>
                <w:color w:val="000000"/>
                <w:szCs w:val="22"/>
              </w:rPr>
            </w:pPr>
            <w:r w:rsidRPr="00856306">
              <w:rPr>
                <w:rFonts w:cs="Arial"/>
                <w:b/>
                <w:bCs/>
                <w:color w:val="000000"/>
                <w:szCs w:val="22"/>
              </w:rPr>
              <w:t xml:space="preserve">Total </w:t>
            </w:r>
          </w:p>
        </w:tc>
        <w:tc>
          <w:tcPr>
            <w:tcW w:w="2912" w:type="dxa"/>
            <w:tcBorders>
              <w:top w:val="single" w:sz="8" w:space="0" w:color="auto"/>
              <w:left w:val="nil"/>
              <w:bottom w:val="single" w:sz="8" w:space="0" w:color="auto"/>
              <w:right w:val="single" w:sz="8" w:space="0" w:color="auto"/>
            </w:tcBorders>
            <w:shd w:val="clear" w:color="auto" w:fill="auto"/>
            <w:noWrap/>
            <w:vAlign w:val="bottom"/>
            <w:hideMark/>
          </w:tcPr>
          <w:p w:rsidR="00856306" w:rsidRPr="00856306" w:rsidRDefault="00856306" w:rsidP="001D15EB">
            <w:pPr>
              <w:jc w:val="both"/>
              <w:rPr>
                <w:rFonts w:cs="Arial"/>
                <w:color w:val="000000"/>
                <w:szCs w:val="22"/>
              </w:rPr>
            </w:pPr>
            <w:r w:rsidRPr="00856306">
              <w:rPr>
                <w:rFonts w:cs="Arial"/>
                <w:color w:val="000000"/>
                <w:szCs w:val="22"/>
              </w:rPr>
              <w:t xml:space="preserve"> </w:t>
            </w:r>
            <w:r w:rsidR="009406D1" w:rsidRPr="009406D1">
              <w:rPr>
                <w:rFonts w:cs="Arial"/>
                <w:color w:val="000000"/>
                <w:szCs w:val="22"/>
              </w:rPr>
              <w:t>£                     137</w:t>
            </w:r>
            <w:r w:rsidRPr="009406D1">
              <w:rPr>
                <w:rFonts w:cs="Arial"/>
                <w:color w:val="000000"/>
                <w:szCs w:val="22"/>
              </w:rPr>
              <w:t>,985.02</w:t>
            </w:r>
            <w:r w:rsidRPr="00856306">
              <w:rPr>
                <w:rFonts w:cs="Arial"/>
                <w:color w:val="000000"/>
                <w:szCs w:val="22"/>
              </w:rPr>
              <w:t xml:space="preserve"> </w:t>
            </w:r>
          </w:p>
        </w:tc>
      </w:tr>
    </w:tbl>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Default="00DF7957" w:rsidP="001D15EB">
      <w:pPr>
        <w:ind w:left="720" w:hanging="720"/>
        <w:jc w:val="both"/>
      </w:pPr>
    </w:p>
    <w:p w:rsidR="00DF7957" w:rsidRPr="005E34A1" w:rsidRDefault="00B50973" w:rsidP="001D15EB">
      <w:pPr>
        <w:ind w:left="720" w:hanging="720"/>
        <w:jc w:val="both"/>
        <w:rPr>
          <w:sz w:val="16"/>
          <w:szCs w:val="16"/>
        </w:rPr>
      </w:pPr>
      <w:r>
        <w:tab/>
      </w:r>
      <w:r w:rsidR="009D6CDE">
        <w:tab/>
      </w:r>
      <w:r w:rsidR="009D6CDE" w:rsidRPr="005E34A1">
        <w:rPr>
          <w:sz w:val="16"/>
          <w:szCs w:val="16"/>
        </w:rPr>
        <w:t>Table 3</w:t>
      </w:r>
      <w:r w:rsidR="005E34A1">
        <w:rPr>
          <w:sz w:val="16"/>
          <w:szCs w:val="16"/>
        </w:rPr>
        <w:t>:</w:t>
      </w:r>
      <w:r w:rsidR="0050431D">
        <w:rPr>
          <w:sz w:val="16"/>
          <w:szCs w:val="16"/>
        </w:rPr>
        <w:t xml:space="preserve">  Hitchin Town Hall </w:t>
      </w:r>
      <w:r w:rsidR="00DA16B4">
        <w:rPr>
          <w:sz w:val="16"/>
          <w:szCs w:val="16"/>
        </w:rPr>
        <w:t>estimate C</w:t>
      </w:r>
      <w:r w:rsidR="0050431D">
        <w:rPr>
          <w:sz w:val="16"/>
          <w:szCs w:val="16"/>
        </w:rPr>
        <w:t xml:space="preserve">apital expenditure – NHDC managed </w:t>
      </w:r>
      <w:r w:rsidR="00EA5C35">
        <w:rPr>
          <w:sz w:val="16"/>
          <w:szCs w:val="16"/>
        </w:rPr>
        <w:t>O</w:t>
      </w:r>
      <w:r w:rsidR="0050431D">
        <w:rPr>
          <w:sz w:val="16"/>
          <w:szCs w:val="16"/>
        </w:rPr>
        <w:t>ption</w:t>
      </w:r>
    </w:p>
    <w:p w:rsidR="00DF7957" w:rsidRDefault="00DF7957" w:rsidP="001D15EB">
      <w:pPr>
        <w:ind w:left="720" w:hanging="720"/>
        <w:jc w:val="both"/>
      </w:pPr>
    </w:p>
    <w:p w:rsidR="00CA4D2A" w:rsidRDefault="00FC413A" w:rsidP="001D15EB">
      <w:pPr>
        <w:tabs>
          <w:tab w:val="left" w:pos="2729"/>
        </w:tabs>
        <w:ind w:left="720" w:hanging="720"/>
        <w:jc w:val="both"/>
      </w:pPr>
      <w:r>
        <w:t>8.10</w:t>
      </w:r>
      <w:r w:rsidR="00CA4D2A">
        <w:tab/>
      </w:r>
      <w:r w:rsidR="00CA4D2A" w:rsidRPr="00DB245C">
        <w:t>Table</w:t>
      </w:r>
      <w:r w:rsidR="00DF7957">
        <w:t xml:space="preserve"> 2 </w:t>
      </w:r>
      <w:r w:rsidR="00DA16B4">
        <w:t>provides</w:t>
      </w:r>
      <w:r w:rsidR="00CA4D2A">
        <w:t xml:space="preserve"> a summary of</w:t>
      </w:r>
      <w:r w:rsidR="00CA4D2A" w:rsidRPr="00DB245C">
        <w:t xml:space="preserve"> estimated Revenue Expenditure and Income </w:t>
      </w:r>
      <w:r w:rsidR="00DA16B4">
        <w:t>for a full year</w:t>
      </w:r>
      <w:r w:rsidR="00CA4D2A">
        <w:t xml:space="preserve"> of operation at the Town Hall, </w:t>
      </w:r>
      <w:r w:rsidR="00DA16B4">
        <w:t>and T</w:t>
      </w:r>
      <w:r w:rsidR="00DF7957">
        <w:t xml:space="preserve">able 3 illustrates </w:t>
      </w:r>
      <w:r w:rsidR="00CA4D2A">
        <w:t xml:space="preserve">the </w:t>
      </w:r>
      <w:r w:rsidR="002E00A9">
        <w:t xml:space="preserve">maximum </w:t>
      </w:r>
      <w:r w:rsidR="00DF7957">
        <w:t>capital e</w:t>
      </w:r>
      <w:r w:rsidR="00CA4D2A">
        <w:t>xpenditure required</w:t>
      </w:r>
      <w:r w:rsidR="00CA4D2A" w:rsidRPr="00DB245C">
        <w:t xml:space="preserve">. </w:t>
      </w:r>
      <w:r w:rsidR="00CA4D2A">
        <w:t>These costs are based on market research and assumptions made on the projected utilisation of the Town Hal</w:t>
      </w:r>
      <w:r w:rsidR="00DA16B4">
        <w:t>l</w:t>
      </w:r>
      <w:r w:rsidR="00CA4D2A">
        <w:t xml:space="preserve"> operated using the model outlined in </w:t>
      </w:r>
      <w:r w:rsidR="00FE2C9B">
        <w:t>the Development Agreement and the assumed charging regime</w:t>
      </w:r>
      <w:r w:rsidR="00DA16B4">
        <w:t xml:space="preserve"> arising from this</w:t>
      </w:r>
      <w:r w:rsidR="00FE2C9B">
        <w:t>.</w:t>
      </w:r>
    </w:p>
    <w:p w:rsidR="00CA4D2A" w:rsidRDefault="00CA4D2A" w:rsidP="001D15EB">
      <w:pPr>
        <w:tabs>
          <w:tab w:val="left" w:pos="2729"/>
        </w:tabs>
        <w:ind w:left="720" w:hanging="720"/>
        <w:jc w:val="both"/>
      </w:pPr>
    </w:p>
    <w:p w:rsidR="001E2CE3" w:rsidRDefault="001E2CE3" w:rsidP="001D15EB">
      <w:pPr>
        <w:tabs>
          <w:tab w:val="left" w:pos="2729"/>
        </w:tabs>
        <w:ind w:left="720"/>
        <w:jc w:val="both"/>
      </w:pPr>
      <w:r>
        <w:t>The figures in Table 2 do not include income generated by franchising or licencing the provision of a bar, nor do they account for Business Rates and internal recharges. Figures for capital expenditure are based on estimates and quotations obtained for the purpose of this report.</w:t>
      </w:r>
    </w:p>
    <w:p w:rsidR="003902F3" w:rsidRDefault="003902F3" w:rsidP="001D15EB">
      <w:pPr>
        <w:ind w:left="720" w:hanging="720"/>
        <w:jc w:val="both"/>
      </w:pPr>
    </w:p>
    <w:p w:rsidR="00D77854" w:rsidRDefault="00CA4D2A" w:rsidP="001D15EB">
      <w:pPr>
        <w:ind w:left="720" w:hanging="720"/>
        <w:jc w:val="both"/>
      </w:pPr>
      <w:r>
        <w:t>8.</w:t>
      </w:r>
      <w:r w:rsidR="00FC413A">
        <w:t>11</w:t>
      </w:r>
      <w:r>
        <w:tab/>
      </w:r>
      <w:r w:rsidR="00D77854">
        <w:t xml:space="preserve">At this stage no allowance has been made to reflect the fact that bookings, events etc have yet to be marketed and an element of risk arises from this.  It is likely that it would take some time to generate such business and this was an assumption made in Hitchin Town Hall Ltd’s financial model.  For comparative purposes the overall operating surplus projected by Hitchin Town Hall Ltd from first full year of operation to the third full year </w:t>
      </w:r>
      <w:r w:rsidR="00907788">
        <w:t xml:space="preserve">rose </w:t>
      </w:r>
      <w:proofErr w:type="gramStart"/>
      <w:r w:rsidR="00907788">
        <w:t>from  £</w:t>
      </w:r>
      <w:proofErr w:type="gramEnd"/>
      <w:r w:rsidR="00907788">
        <w:t xml:space="preserve">88k to </w:t>
      </w:r>
      <w:r w:rsidR="00D77854">
        <w:t xml:space="preserve">£177k excluding loan etc repayments. </w:t>
      </w:r>
    </w:p>
    <w:p w:rsidR="00D77854" w:rsidRDefault="00D77854" w:rsidP="001D15EB">
      <w:pPr>
        <w:ind w:left="720" w:hanging="720"/>
        <w:jc w:val="both"/>
      </w:pPr>
    </w:p>
    <w:p w:rsidR="003902F3" w:rsidRDefault="00D77854" w:rsidP="001D15EB">
      <w:pPr>
        <w:ind w:left="720" w:hanging="720"/>
        <w:jc w:val="both"/>
      </w:pPr>
      <w:r>
        <w:t>8.13</w:t>
      </w:r>
      <w:r>
        <w:tab/>
      </w:r>
      <w:r w:rsidR="002E00A9">
        <w:t xml:space="preserve">The </w:t>
      </w:r>
      <w:r w:rsidR="007C50DE">
        <w:t>projected capital requirement is</w:t>
      </w:r>
      <w:r w:rsidR="002E00A9">
        <w:t xml:space="preserve"> the maximum envisaged and may be reduced following Cabinet’s consideration of the proposed operational mode</w:t>
      </w:r>
      <w:r w:rsidR="00225553">
        <w:t>l</w:t>
      </w:r>
      <w:r w:rsidR="002E00A9">
        <w:t>.  Revenue projections are based on a full year and would need to be adjusted to reflect the anticipated opening in late autumn and other issues detailed in para 8.10- 8.11.</w:t>
      </w:r>
      <w:r w:rsidR="002963B4">
        <w:t xml:space="preserve"> </w:t>
      </w:r>
    </w:p>
    <w:p w:rsidR="003902F3" w:rsidRDefault="003902F3" w:rsidP="001D15EB">
      <w:pPr>
        <w:ind w:left="720" w:hanging="720"/>
        <w:jc w:val="both"/>
      </w:pPr>
    </w:p>
    <w:p w:rsidR="003902F3" w:rsidRPr="003902F3" w:rsidRDefault="00CA4D2A" w:rsidP="001D15EB">
      <w:pPr>
        <w:ind w:left="720" w:hanging="720"/>
        <w:jc w:val="both"/>
      </w:pPr>
      <w:r>
        <w:t>8.</w:t>
      </w:r>
      <w:r w:rsidR="00D77854">
        <w:t>1</w:t>
      </w:r>
      <w:r w:rsidR="007041AC">
        <w:t>4</w:t>
      </w:r>
      <w:r>
        <w:tab/>
      </w:r>
      <w:r w:rsidR="0095766B">
        <w:t xml:space="preserve">A detailed mobilisation plan for this </w:t>
      </w:r>
      <w:r w:rsidR="00EA5C35">
        <w:t>O</w:t>
      </w:r>
      <w:r w:rsidR="0095766B">
        <w:t xml:space="preserve">ption has been developed and confirms that NHDC should be in a position to open the Town Hall as originally planned in October.  </w:t>
      </w:r>
      <w:r w:rsidR="0095766B">
        <w:lastRenderedPageBreak/>
        <w:t xml:space="preserve">However, the plan does not include any contingency for unexpected delays and has been developed over a very short timescale.  For this reason, it is suggested that if this option is pursued an additional 6 -8 weeks would be required to provide such contingency.   </w:t>
      </w:r>
    </w:p>
    <w:p w:rsidR="00F40711" w:rsidRDefault="00F40711" w:rsidP="001D15EB">
      <w:pPr>
        <w:jc w:val="both"/>
      </w:pPr>
    </w:p>
    <w:p w:rsidR="00CA4D2A" w:rsidRDefault="00CA4D2A" w:rsidP="001D15EB">
      <w:pPr>
        <w:jc w:val="both"/>
      </w:pPr>
      <w:r>
        <w:tab/>
      </w:r>
      <w:r>
        <w:rPr>
          <w:b/>
        </w:rPr>
        <w:t xml:space="preserve">General </w:t>
      </w:r>
    </w:p>
    <w:p w:rsidR="00CA4D2A" w:rsidRDefault="00CA4D2A" w:rsidP="001D15EB">
      <w:pPr>
        <w:jc w:val="both"/>
      </w:pPr>
    </w:p>
    <w:p w:rsidR="00CA4D2A" w:rsidRDefault="00CA4D2A" w:rsidP="001D15EB">
      <w:pPr>
        <w:ind w:left="720" w:hanging="720"/>
        <w:jc w:val="both"/>
      </w:pPr>
      <w:r>
        <w:t>8.</w:t>
      </w:r>
      <w:r w:rsidR="00D77854">
        <w:t>1</w:t>
      </w:r>
      <w:r w:rsidR="007041AC">
        <w:t>5</w:t>
      </w:r>
      <w:r>
        <w:tab/>
      </w:r>
      <w:r w:rsidR="00603B58">
        <w:t>Hitchin Town Hall Ltd</w:t>
      </w:r>
      <w:r w:rsidR="00636DD4">
        <w:t>’s</w:t>
      </w:r>
      <w:r w:rsidR="00603B58">
        <w:t xml:space="preserve"> funding has been withdrawn by the Community Builders Fund (SIB) and dialogue between it and the Council will need to take place regarding access to and ownership of 14 and 15 Brand Street on which part of the Museum is now built.  Council is asked to note that, subject to resolving to terminate the Development Agreement, a report </w:t>
      </w:r>
      <w:r w:rsidR="007C50DE">
        <w:t>detailing</w:t>
      </w:r>
      <w:r w:rsidR="00603B58">
        <w:t xml:space="preserve"> the outcome of these</w:t>
      </w:r>
      <w:r w:rsidR="00636DD4">
        <w:t xml:space="preserve"> negotiations</w:t>
      </w:r>
      <w:r w:rsidR="00603B58">
        <w:t xml:space="preserve"> and any </w:t>
      </w:r>
      <w:r w:rsidR="00636DD4">
        <w:t>potential</w:t>
      </w:r>
      <w:r w:rsidR="00603B58">
        <w:t xml:space="preserve"> additional capital costs will be presented to Cabinet in due course.</w:t>
      </w:r>
    </w:p>
    <w:p w:rsidR="00225553" w:rsidRDefault="00225553" w:rsidP="001D15EB">
      <w:pPr>
        <w:ind w:left="720" w:hanging="720"/>
        <w:jc w:val="both"/>
      </w:pPr>
    </w:p>
    <w:p w:rsidR="00CA4D2A" w:rsidRDefault="00CA4D2A" w:rsidP="001D15EB">
      <w:pPr>
        <w:ind w:left="720" w:hanging="720"/>
        <w:jc w:val="both"/>
      </w:pPr>
      <w:r>
        <w:t>8.</w:t>
      </w:r>
      <w:r w:rsidR="00D77854">
        <w:t>1</w:t>
      </w:r>
      <w:r w:rsidR="007041AC">
        <w:t>6</w:t>
      </w:r>
      <w:r>
        <w:tab/>
      </w:r>
      <w:r w:rsidR="00C825AC">
        <w:t xml:space="preserve">In this report an assumption has been made that Council would wish to see the Town Hall operating as originally envisaged in the Development Agreement with Hitchin Town Hall Ltd.  In brief, this broadly provided for the Town Hall to operate on a quasi commercial basis using profit to repay debt and subsidise ‘community’ use.  Unless advised to the contrary </w:t>
      </w:r>
      <w:r w:rsidR="00DB5602">
        <w:t>o</w:t>
      </w:r>
      <w:r w:rsidR="00C825AC">
        <w:t xml:space="preserve">fficers will continue to </w:t>
      </w:r>
      <w:r w:rsidR="00DB5602">
        <w:t>use this as a working assumption when devising an activity programme, hiring policies etc with any variations to this approach being subject to approval by Cabinet</w:t>
      </w:r>
      <w:r w:rsidR="007012D5">
        <w:t xml:space="preserve"> and (if necessary) the Cabinet Sub-Committee (Council Charities).</w:t>
      </w:r>
    </w:p>
    <w:p w:rsidR="00507E6C" w:rsidRDefault="00507E6C" w:rsidP="001D15EB">
      <w:pPr>
        <w:jc w:val="both"/>
      </w:pPr>
    </w:p>
    <w:p w:rsidR="00CA4D2A" w:rsidRPr="00CA4D2A" w:rsidRDefault="00CA4D2A" w:rsidP="001D15EB">
      <w:pPr>
        <w:jc w:val="both"/>
        <w:rPr>
          <w:b/>
        </w:rPr>
      </w:pPr>
      <w:r>
        <w:tab/>
      </w:r>
      <w:r w:rsidRPr="00CA4D2A">
        <w:rPr>
          <w:b/>
        </w:rPr>
        <w:t xml:space="preserve">Conclusion </w:t>
      </w:r>
    </w:p>
    <w:p w:rsidR="00CA4D2A" w:rsidRDefault="00CA4D2A" w:rsidP="001D15EB">
      <w:pPr>
        <w:jc w:val="both"/>
      </w:pPr>
    </w:p>
    <w:p w:rsidR="00507E6C" w:rsidRDefault="00CA4D2A" w:rsidP="001D15EB">
      <w:pPr>
        <w:ind w:left="720" w:hanging="660"/>
        <w:jc w:val="both"/>
      </w:pPr>
      <w:r>
        <w:t>8.</w:t>
      </w:r>
      <w:r w:rsidR="00D77854">
        <w:t>1</w:t>
      </w:r>
      <w:r w:rsidR="007041AC">
        <w:t>7</w:t>
      </w:r>
      <w:r>
        <w:tab/>
      </w:r>
      <w:r w:rsidR="00206EC4">
        <w:t>The proposal sub</w:t>
      </w:r>
      <w:r w:rsidR="000B06FC">
        <w:t xml:space="preserve">mitted by Hitchin Town Hall Ltd, outlined on pages </w:t>
      </w:r>
      <w:r w:rsidR="007E7EC2" w:rsidRPr="007E7EC2">
        <w:t>195</w:t>
      </w:r>
      <w:r w:rsidR="000B06FC" w:rsidRPr="007E7EC2">
        <w:t xml:space="preserve"> – </w:t>
      </w:r>
      <w:r w:rsidR="007E7EC2">
        <w:t>200</w:t>
      </w:r>
      <w:r w:rsidR="000B06FC">
        <w:t xml:space="preserve"> of the corresponding Part 2 report, </w:t>
      </w:r>
      <w:r w:rsidR="00206EC4">
        <w:t xml:space="preserve">seeks to significantly alter the Development Agreement </w:t>
      </w:r>
      <w:r w:rsidR="00507E6C">
        <w:t>in its favour</w:t>
      </w:r>
      <w:r w:rsidR="00206EC4">
        <w:t xml:space="preserve">.  Hitchin Town Hall </w:t>
      </w:r>
      <w:r w:rsidR="00507E6C">
        <w:t>L</w:t>
      </w:r>
      <w:r w:rsidR="00206EC4">
        <w:t xml:space="preserve">td does not have the means to meet its current obligations </w:t>
      </w:r>
      <w:r w:rsidR="00507E6C">
        <w:t>or</w:t>
      </w:r>
      <w:r w:rsidR="00206EC4">
        <w:t xml:space="preserve"> approved finance to meet the obligations envisaged in its proposal.  There seems to be </w:t>
      </w:r>
      <w:r w:rsidR="007E7EC2">
        <w:t>no</w:t>
      </w:r>
      <w:r w:rsidR="00206EC4">
        <w:t xml:space="preserve"> reason why </w:t>
      </w:r>
      <w:r w:rsidR="005A35E1">
        <w:t>the Council</w:t>
      </w:r>
      <w:r w:rsidR="00206EC4">
        <w:t xml:space="preserve"> should choose to commit additional expenditure to the project </w:t>
      </w:r>
      <w:r w:rsidR="00C678FA">
        <w:t xml:space="preserve">as would be required </w:t>
      </w:r>
      <w:r w:rsidR="00206EC4">
        <w:t xml:space="preserve">and accept further financial and operational risk when any of the alternative </w:t>
      </w:r>
      <w:r w:rsidR="00CF0567">
        <w:t xml:space="preserve">Options </w:t>
      </w:r>
      <w:r w:rsidR="00206EC4">
        <w:t xml:space="preserve">would largely avoid this.  </w:t>
      </w:r>
      <w:r w:rsidR="00C678FA">
        <w:t>As a result it is recommended in para 2.1 that Council does not agree to the proposal from Hitchin Town Hall Ltd to vary or replace the Development Agreement.</w:t>
      </w:r>
      <w:r w:rsidR="003E34D1">
        <w:t xml:space="preserve">  It is further recommended at para 2.2 that </w:t>
      </w:r>
      <w:r w:rsidR="00707244">
        <w:t>t</w:t>
      </w:r>
      <w:r w:rsidR="003E34D1">
        <w:t xml:space="preserve">he Development Agreement is terminated in the event Hitchin Town Hall </w:t>
      </w:r>
      <w:r w:rsidR="007C50DE">
        <w:t>f</w:t>
      </w:r>
      <w:r w:rsidR="00707244">
        <w:t xml:space="preserve">ail to pay </w:t>
      </w:r>
      <w:r w:rsidR="007C50DE">
        <w:t>the</w:t>
      </w:r>
      <w:r w:rsidR="00703F50">
        <w:t xml:space="preserve"> capital contribution. </w:t>
      </w:r>
    </w:p>
    <w:p w:rsidR="00507E6C" w:rsidRDefault="00507E6C" w:rsidP="001D15EB">
      <w:pPr>
        <w:ind w:left="720" w:hanging="660"/>
        <w:jc w:val="both"/>
      </w:pPr>
    </w:p>
    <w:p w:rsidR="00CA4D2A" w:rsidRPr="00CA4D2A" w:rsidRDefault="007041AC" w:rsidP="001D15EB">
      <w:pPr>
        <w:ind w:left="720" w:hanging="660"/>
        <w:jc w:val="both"/>
      </w:pPr>
      <w:r>
        <w:t>8.18</w:t>
      </w:r>
      <w:r w:rsidR="00507E6C">
        <w:tab/>
      </w:r>
      <w:r w:rsidR="00206EC4">
        <w:t xml:space="preserve">The preferred </w:t>
      </w:r>
      <w:r w:rsidR="00EA5C35">
        <w:t>O</w:t>
      </w:r>
      <w:r w:rsidR="00206EC4">
        <w:t xml:space="preserve">ption for NHDC to manage the Town Hall pending a review of longer term </w:t>
      </w:r>
      <w:r w:rsidR="00CF0567">
        <w:t xml:space="preserve">Options </w:t>
      </w:r>
      <w:r w:rsidR="00206EC4">
        <w:t xml:space="preserve">allows the hall to open broadly on time and offers the opportunity to </w:t>
      </w:r>
      <w:r w:rsidR="00507E6C">
        <w:t>generate</w:t>
      </w:r>
      <w:r w:rsidR="00206EC4">
        <w:t xml:space="preserve"> a revenue sur</w:t>
      </w:r>
      <w:r w:rsidR="00FE2A4C">
        <w:t>plus</w:t>
      </w:r>
      <w:r w:rsidR="001E3C1A">
        <w:t xml:space="preserve"> </w:t>
      </w:r>
      <w:r w:rsidR="00C678FA">
        <w:t xml:space="preserve">over </w:t>
      </w:r>
      <w:r w:rsidR="001E3C1A">
        <w:t>time</w:t>
      </w:r>
      <w:r w:rsidR="00FE2A4C">
        <w:t>.  There remains an element of risk associated with the acquisition of 14/15 Brand Street and with developing a programme of activities in a short timescale but</w:t>
      </w:r>
      <w:r w:rsidR="001E3C1A">
        <w:t>,</w:t>
      </w:r>
      <w:r w:rsidR="00FE2A4C">
        <w:t xml:space="preserve"> on </w:t>
      </w:r>
      <w:proofErr w:type="gramStart"/>
      <w:r w:rsidR="00FE2A4C">
        <w:t>balance</w:t>
      </w:r>
      <w:r w:rsidR="001E3C1A">
        <w:t>,</w:t>
      </w:r>
      <w:proofErr w:type="gramEnd"/>
      <w:r w:rsidR="001E3C1A">
        <w:t xml:space="preserve"> </w:t>
      </w:r>
      <w:r w:rsidR="00FE2A4C">
        <w:t>it is felt such risk would be manageable</w:t>
      </w:r>
      <w:r w:rsidR="001E3C1A">
        <w:t xml:space="preserve"> and proportionate</w:t>
      </w:r>
      <w:r w:rsidR="00FE2A4C">
        <w:t>.</w:t>
      </w:r>
      <w:r w:rsidR="003651FB">
        <w:t xml:space="preserve">  Consequently at para 2.</w:t>
      </w:r>
      <w:r w:rsidR="006E6B97">
        <w:t>3</w:t>
      </w:r>
      <w:r w:rsidR="003651FB">
        <w:t xml:space="preserve"> Council is recommended to agree that the Town Hall be operated by NHDC subject to a review of management </w:t>
      </w:r>
      <w:r w:rsidR="00225553">
        <w:t>o</w:t>
      </w:r>
      <w:r w:rsidR="00CF0567">
        <w:t xml:space="preserve">ptions </w:t>
      </w:r>
      <w:r w:rsidR="003651FB">
        <w:t>within three years</w:t>
      </w:r>
      <w:r w:rsidR="00C679CA">
        <w:t xml:space="preserve"> of opening</w:t>
      </w:r>
      <w:r w:rsidR="007C50DE">
        <w:t xml:space="preserve"> and, at para 2.4 Council is recommended to approve additional capital expenditure up to £138,000 should this approach be approved</w:t>
      </w:r>
      <w:r w:rsidR="003651FB">
        <w:t>.</w:t>
      </w:r>
    </w:p>
    <w:p w:rsidR="00CA4D2A" w:rsidRDefault="00CA4D2A" w:rsidP="001D15EB">
      <w:pPr>
        <w:jc w:val="both"/>
      </w:pPr>
    </w:p>
    <w:p w:rsidR="00844CED" w:rsidRDefault="00E813BE" w:rsidP="001D15EB">
      <w:pPr>
        <w:ind w:left="720" w:hanging="720"/>
        <w:jc w:val="both"/>
        <w:rPr>
          <w:b/>
        </w:rPr>
      </w:pPr>
      <w:r>
        <w:rPr>
          <w:b/>
        </w:rPr>
        <w:t>9</w:t>
      </w:r>
      <w:r w:rsidR="00844CED">
        <w:rPr>
          <w:b/>
        </w:rPr>
        <w:t>.</w:t>
      </w:r>
      <w:r w:rsidR="00844CED">
        <w:rPr>
          <w:b/>
        </w:rPr>
        <w:tab/>
        <w:t xml:space="preserve"> </w:t>
      </w:r>
      <w:r w:rsidR="00365856">
        <w:rPr>
          <w:b/>
        </w:rPr>
        <w:t>LEGAL IMPLICATIONS</w:t>
      </w:r>
    </w:p>
    <w:p w:rsidR="00844CED" w:rsidRDefault="00844CED" w:rsidP="001D15EB">
      <w:pPr>
        <w:jc w:val="both"/>
      </w:pPr>
    </w:p>
    <w:p w:rsidR="007E7EC2" w:rsidRDefault="007E7EC2" w:rsidP="001D15EB">
      <w:pPr>
        <w:jc w:val="both"/>
      </w:pPr>
      <w:r>
        <w:t>9.1</w:t>
      </w:r>
      <w:r>
        <w:tab/>
        <w:t>The main legal implications are set out within the original reports.</w:t>
      </w:r>
    </w:p>
    <w:p w:rsidR="007E7EC2" w:rsidRDefault="007E7EC2" w:rsidP="001D15EB">
      <w:pPr>
        <w:jc w:val="both"/>
      </w:pPr>
    </w:p>
    <w:p w:rsidR="007E7EC2" w:rsidRDefault="007E7EC2" w:rsidP="001D15EB">
      <w:pPr>
        <w:ind w:left="720" w:hanging="720"/>
        <w:jc w:val="both"/>
      </w:pPr>
      <w:r>
        <w:t>9.2</w:t>
      </w:r>
      <w:r>
        <w:tab/>
        <w:t xml:space="preserve">If Full Council decide not to proceed with the Hitchin Town Hall Ltd offer, consideration will need to be given to whether to pursue the company for breach of the Development </w:t>
      </w:r>
      <w:r>
        <w:lastRenderedPageBreak/>
        <w:t xml:space="preserve">Agreement and/or non-payment of the loan made by the Council. </w:t>
      </w:r>
      <w:proofErr w:type="gramStart"/>
      <w:r>
        <w:t>Paragraph 14.6.9(f) delegates to the Corporate Legal Manager the power “to authorise the institution, defence, withdrawal or settlement of any legal proceedings, civil or criminal (other than for …sundry debts)”.</w:t>
      </w:r>
      <w:proofErr w:type="gramEnd"/>
      <w:r>
        <w:t xml:space="preserve"> Paragraph 14.6.7(b</w:t>
      </w:r>
      <w:proofErr w:type="gramStart"/>
      <w:r>
        <w:t>)(</w:t>
      </w:r>
      <w:proofErr w:type="spellStart"/>
      <w:proofErr w:type="gramEnd"/>
      <w:r>
        <w:t>i</w:t>
      </w:r>
      <w:proofErr w:type="spellEnd"/>
      <w:r>
        <w:t>)(G)1 delegates to the Strategic Director for Finance, Policy and Governance the same powers in respect of sundry debts. There would need to be an assessment as to whether the sums owed are likely to be recovered given Hitchin Town Hall Limited’s stated lack of assets.</w:t>
      </w:r>
    </w:p>
    <w:p w:rsidR="007E7EC2" w:rsidRDefault="007E7EC2" w:rsidP="001D15EB">
      <w:pPr>
        <w:ind w:left="720" w:hanging="720"/>
        <w:jc w:val="both"/>
      </w:pPr>
    </w:p>
    <w:p w:rsidR="007E7EC2" w:rsidRDefault="007E7EC2" w:rsidP="001D15EB">
      <w:pPr>
        <w:ind w:left="720" w:hanging="720"/>
        <w:jc w:val="both"/>
      </w:pPr>
      <w:r>
        <w:t>9.3</w:t>
      </w:r>
      <w:r>
        <w:tab/>
        <w:t>If Hitchin Town Hall Limited fail to make the capital contribution required under the Development Agreement this would potentially constitute a significant breach of the Agreement and the Council could seek to terminate that Agreement.</w:t>
      </w:r>
    </w:p>
    <w:p w:rsidR="00703F50" w:rsidRDefault="00703F50" w:rsidP="001D15EB">
      <w:pPr>
        <w:ind w:left="720" w:hanging="720"/>
        <w:jc w:val="both"/>
      </w:pPr>
    </w:p>
    <w:p w:rsidR="00703F50" w:rsidRDefault="00703F50" w:rsidP="001D15EB">
      <w:pPr>
        <w:ind w:left="720" w:hanging="720"/>
        <w:jc w:val="both"/>
      </w:pPr>
      <w:r>
        <w:t>9.4</w:t>
      </w:r>
      <w:r>
        <w:tab/>
        <w:t>If the Council were to consider Options 1 or 2, either at this point or in the future, the development of those proposals would need to take account of the Council’s Contract and Procurement Rules.</w:t>
      </w:r>
    </w:p>
    <w:p w:rsidR="001C050F" w:rsidRDefault="001C050F" w:rsidP="001D15EB">
      <w:pPr>
        <w:ind w:left="720" w:hanging="720"/>
        <w:jc w:val="both"/>
      </w:pPr>
    </w:p>
    <w:p w:rsidR="00844CED" w:rsidRDefault="00E813BE" w:rsidP="001D15EB">
      <w:pPr>
        <w:jc w:val="both"/>
        <w:rPr>
          <w:b/>
        </w:rPr>
      </w:pPr>
      <w:r>
        <w:rPr>
          <w:b/>
        </w:rPr>
        <w:t>10</w:t>
      </w:r>
      <w:r w:rsidR="00844CED">
        <w:rPr>
          <w:b/>
        </w:rPr>
        <w:t>.</w:t>
      </w:r>
      <w:r w:rsidR="00844CED">
        <w:rPr>
          <w:b/>
        </w:rPr>
        <w:tab/>
      </w:r>
      <w:r w:rsidR="00365856">
        <w:rPr>
          <w:b/>
        </w:rPr>
        <w:t>FINANCIAL IMPLICATIONS</w:t>
      </w:r>
    </w:p>
    <w:p w:rsidR="007C053D" w:rsidRDefault="007C053D" w:rsidP="001D15EB">
      <w:pPr>
        <w:jc w:val="both"/>
        <w:rPr>
          <w:b/>
        </w:rPr>
      </w:pPr>
    </w:p>
    <w:p w:rsidR="009913BE" w:rsidRDefault="007C053D" w:rsidP="001D15EB">
      <w:pPr>
        <w:ind w:left="720" w:hanging="720"/>
        <w:jc w:val="both"/>
      </w:pPr>
      <w:r>
        <w:t>10.1</w:t>
      </w:r>
      <w:r>
        <w:tab/>
      </w:r>
      <w:r w:rsidR="009913BE">
        <w:t>The financial implications and other unquantified costs of Hitchin Town Hall Ltd’s proposal are detailed in the corresponding Part 2 report.</w:t>
      </w:r>
    </w:p>
    <w:p w:rsidR="009913BE" w:rsidRDefault="009913BE" w:rsidP="001D15EB">
      <w:pPr>
        <w:ind w:left="720" w:hanging="720"/>
        <w:jc w:val="both"/>
      </w:pPr>
    </w:p>
    <w:p w:rsidR="007C053D" w:rsidRDefault="009913BE" w:rsidP="001D15EB">
      <w:pPr>
        <w:ind w:left="720" w:hanging="720"/>
        <w:jc w:val="both"/>
      </w:pPr>
      <w:r>
        <w:t>10.2</w:t>
      </w:r>
      <w:r>
        <w:tab/>
      </w:r>
      <w:r w:rsidR="007C053D">
        <w:t xml:space="preserve">The financial implications in the event that the £490k capital contribution is not received from Hitchin Town Hall Ltd are set out in the original reports. </w:t>
      </w:r>
    </w:p>
    <w:p w:rsidR="007C053D" w:rsidRDefault="007C053D" w:rsidP="001D15EB">
      <w:pPr>
        <w:jc w:val="both"/>
      </w:pPr>
    </w:p>
    <w:p w:rsidR="007C053D" w:rsidRDefault="009913BE" w:rsidP="001D15EB">
      <w:pPr>
        <w:ind w:left="720" w:hanging="720"/>
        <w:jc w:val="both"/>
      </w:pPr>
      <w:r>
        <w:t>10.3</w:t>
      </w:r>
      <w:r w:rsidR="007C053D">
        <w:tab/>
        <w:t xml:space="preserve">In accordance with NHDC </w:t>
      </w:r>
      <w:r w:rsidR="00941D62">
        <w:t>F</w:t>
      </w:r>
      <w:r w:rsidR="007C053D">
        <w:t xml:space="preserve">inancial </w:t>
      </w:r>
      <w:r w:rsidR="00941D62">
        <w:t>R</w:t>
      </w:r>
      <w:r w:rsidR="007C053D">
        <w:t>egulations, au</w:t>
      </w:r>
      <w:r w:rsidR="007C053D" w:rsidRPr="00134A07">
        <w:t>thority from Council is required for expenditure to be incurred on any items not included in the approved capital programme</w:t>
      </w:r>
      <w:r w:rsidR="007C053D">
        <w:t xml:space="preserve">. The recommended </w:t>
      </w:r>
      <w:r w:rsidR="00941D62">
        <w:t>O</w:t>
      </w:r>
      <w:r w:rsidR="007C053D">
        <w:t xml:space="preserve">ption that NHDC manage the Town Hall directly, pending a review of longer term options, is estimated at this stage to require a capital expenditure outlay by NHDC of up to a </w:t>
      </w:r>
      <w:r w:rsidR="007C053D" w:rsidRPr="00450C3B">
        <w:t>maximum of £138k.</w:t>
      </w:r>
      <w:r w:rsidR="007C053D">
        <w:t xml:space="preserve"> </w:t>
      </w:r>
    </w:p>
    <w:p w:rsidR="007C053D" w:rsidRDefault="007C053D" w:rsidP="001D15EB">
      <w:pPr>
        <w:ind w:left="720" w:hanging="720"/>
        <w:jc w:val="both"/>
      </w:pPr>
    </w:p>
    <w:p w:rsidR="007C053D" w:rsidRDefault="007C053D" w:rsidP="001D15EB">
      <w:pPr>
        <w:ind w:left="720" w:hanging="720"/>
        <w:jc w:val="both"/>
      </w:pPr>
      <w:r>
        <w:t>1</w:t>
      </w:r>
      <w:r w:rsidR="009913BE">
        <w:t>0.4</w:t>
      </w:r>
      <w:r>
        <w:tab/>
        <w:t xml:space="preserve">Subject to Council approval of recommendation 2.4, any further revisions required to the capital budget as costs are finalised will be highlighted to Cabinet within the quarterly capital monitoring reporting.   </w:t>
      </w:r>
    </w:p>
    <w:p w:rsidR="007C053D" w:rsidRDefault="007C053D" w:rsidP="001D15EB">
      <w:pPr>
        <w:ind w:left="720" w:hanging="720"/>
        <w:jc w:val="both"/>
      </w:pPr>
    </w:p>
    <w:p w:rsidR="007C053D" w:rsidRDefault="009913BE" w:rsidP="001D15EB">
      <w:pPr>
        <w:ind w:left="720" w:hanging="720"/>
        <w:jc w:val="both"/>
      </w:pPr>
      <w:r>
        <w:t>10.5</w:t>
      </w:r>
      <w:r w:rsidR="007C053D">
        <w:tab/>
        <w:t xml:space="preserve">The estimated revenue direct costs and income generated from NHDC managing the </w:t>
      </w:r>
      <w:r w:rsidR="00941D62">
        <w:t>T</w:t>
      </w:r>
      <w:r w:rsidR="007C053D">
        <w:t xml:space="preserve">own </w:t>
      </w:r>
      <w:r w:rsidR="00941D62">
        <w:t>H</w:t>
      </w:r>
      <w:r w:rsidR="007C053D">
        <w:t xml:space="preserve">all included in the body of this report are based on a twelve month activity period. The impact on the General Fund in financial year 2015/16 will be dependent on the date from which the Hitchin Town Hall is operational. The current expectation is an opening date in late </w:t>
      </w:r>
      <w:proofErr w:type="gramStart"/>
      <w:r w:rsidR="007C053D">
        <w:t>Autumn</w:t>
      </w:r>
      <w:proofErr w:type="gramEnd"/>
      <w:r w:rsidR="007C053D">
        <w:t xml:space="preserve"> 2015 with a full quarter of activity occurring in financial year 2015/16.</w:t>
      </w:r>
    </w:p>
    <w:p w:rsidR="007C053D" w:rsidRDefault="007C053D" w:rsidP="001D15EB">
      <w:pPr>
        <w:ind w:left="720" w:hanging="720"/>
        <w:jc w:val="both"/>
      </w:pPr>
    </w:p>
    <w:p w:rsidR="007C053D" w:rsidRDefault="009913BE" w:rsidP="001D15EB">
      <w:pPr>
        <w:ind w:left="720" w:hanging="720"/>
        <w:jc w:val="both"/>
      </w:pPr>
      <w:r>
        <w:t>10.6</w:t>
      </w:r>
      <w:r w:rsidR="007C053D">
        <w:tab/>
        <w:t xml:space="preserve">If Council agree to proceed on the basis of </w:t>
      </w:r>
      <w:r w:rsidR="00EF228A">
        <w:t>O</w:t>
      </w:r>
      <w:r w:rsidR="007C053D">
        <w:t xml:space="preserve">ption 3 and the NHDC business model for Hitchin Town Hall is fully developed, any additional revenue budget required in 2015/16 will be requested as part of a subsequent report provided to Cabinet, which will contain a detailed breakdown of the impact on the General Fund both in current and future financial years. The estimates for financial year 2016/17 and beyond will then be subject to further review and update as part of the Corporate Business Planning process.       </w:t>
      </w:r>
    </w:p>
    <w:p w:rsidR="00844CED" w:rsidRDefault="00844CED" w:rsidP="001D15EB">
      <w:pPr>
        <w:jc w:val="both"/>
      </w:pPr>
    </w:p>
    <w:p w:rsidR="00844CED" w:rsidRDefault="00844CED" w:rsidP="001D15EB">
      <w:pPr>
        <w:jc w:val="both"/>
        <w:rPr>
          <w:b/>
        </w:rPr>
      </w:pPr>
      <w:r>
        <w:rPr>
          <w:b/>
        </w:rPr>
        <w:t>1</w:t>
      </w:r>
      <w:r w:rsidR="00E813BE">
        <w:rPr>
          <w:b/>
        </w:rPr>
        <w:t>1</w:t>
      </w:r>
      <w:r>
        <w:rPr>
          <w:b/>
        </w:rPr>
        <w:t>.</w:t>
      </w:r>
      <w:r>
        <w:rPr>
          <w:b/>
        </w:rPr>
        <w:tab/>
      </w:r>
      <w:r w:rsidR="00365856">
        <w:rPr>
          <w:b/>
        </w:rPr>
        <w:t>RISK IMPLICATIONS</w:t>
      </w:r>
    </w:p>
    <w:p w:rsidR="00844CED" w:rsidRDefault="00844CED" w:rsidP="001D15EB">
      <w:pPr>
        <w:jc w:val="both"/>
      </w:pPr>
    </w:p>
    <w:p w:rsidR="00CA2539" w:rsidRDefault="00CA2539" w:rsidP="001D15EB">
      <w:pPr>
        <w:ind w:left="709" w:hanging="709"/>
        <w:jc w:val="both"/>
      </w:pPr>
      <w:r>
        <w:t xml:space="preserve">11.1 </w:t>
      </w:r>
      <w:r>
        <w:tab/>
        <w:t xml:space="preserve">The risks and opportunities arising form the various </w:t>
      </w:r>
      <w:r w:rsidR="00EA5C35">
        <w:t>O</w:t>
      </w:r>
      <w:r>
        <w:t xml:space="preserve">ptions have been considered throughout this report.  </w:t>
      </w:r>
    </w:p>
    <w:p w:rsidR="00CA2539" w:rsidRDefault="00CA2539" w:rsidP="001D15EB">
      <w:pPr>
        <w:jc w:val="both"/>
      </w:pPr>
    </w:p>
    <w:p w:rsidR="00CA2539" w:rsidRDefault="00CA2539" w:rsidP="001D15EB">
      <w:pPr>
        <w:ind w:left="709" w:hanging="709"/>
        <w:jc w:val="both"/>
      </w:pPr>
      <w:r>
        <w:t>11.2</w:t>
      </w:r>
      <w:r>
        <w:tab/>
        <w:t xml:space="preserve">Clearly there is a revenue generating opportunity from the Council directly managing the Town Hall but there is a risk of failing to obtain the projected revenue through lack of hires and/or unknown costs.  This could result in the Council having to subsidise the operation of the hall.  </w:t>
      </w:r>
    </w:p>
    <w:p w:rsidR="001C050F" w:rsidRDefault="001C050F" w:rsidP="001D15EB">
      <w:pPr>
        <w:ind w:left="709" w:hanging="709"/>
        <w:jc w:val="both"/>
      </w:pPr>
    </w:p>
    <w:p w:rsidR="00844CED" w:rsidRDefault="00E813BE" w:rsidP="001D15EB">
      <w:pPr>
        <w:jc w:val="both"/>
        <w:rPr>
          <w:b/>
        </w:rPr>
      </w:pPr>
      <w:r>
        <w:rPr>
          <w:b/>
        </w:rPr>
        <w:t>12.</w:t>
      </w:r>
      <w:r w:rsidR="00844CED">
        <w:rPr>
          <w:b/>
        </w:rPr>
        <w:tab/>
      </w:r>
      <w:r w:rsidR="00365856">
        <w:rPr>
          <w:b/>
        </w:rPr>
        <w:t>EQUALITIES IMPLICATIONS</w:t>
      </w:r>
    </w:p>
    <w:p w:rsidR="00844CED" w:rsidRDefault="00844CED" w:rsidP="001D15EB">
      <w:pPr>
        <w:jc w:val="both"/>
      </w:pPr>
    </w:p>
    <w:p w:rsidR="0094597E" w:rsidRPr="006359DD" w:rsidRDefault="0094597E" w:rsidP="001D15EB">
      <w:pPr>
        <w:ind w:left="709" w:hanging="709"/>
        <w:jc w:val="both"/>
        <w:rPr>
          <w:rFonts w:cs="Arial"/>
          <w:szCs w:val="22"/>
        </w:rPr>
      </w:pPr>
      <w:r w:rsidRPr="006359DD">
        <w:t>12.1</w:t>
      </w:r>
      <w:r w:rsidRPr="006359DD">
        <w:tab/>
      </w:r>
      <w:r w:rsidRPr="006359DD">
        <w:rPr>
          <w:rFonts w:cs="Arial"/>
          <w:szCs w:val="22"/>
        </w:rPr>
        <w:t>The Equality Act 2010 came into force on the 1 October 2010, a major piece of legislation. The Act also created a new Public Sector Equality Duty, which came into force on the 5 April 2011. There is a General duty, described in 12.2</w:t>
      </w:r>
      <w:proofErr w:type="gramStart"/>
      <w:r w:rsidRPr="006359DD">
        <w:rPr>
          <w:rFonts w:cs="Arial"/>
          <w:szCs w:val="22"/>
        </w:rPr>
        <w:t>,  that</w:t>
      </w:r>
      <w:proofErr w:type="gramEnd"/>
      <w:r w:rsidRPr="006359DD">
        <w:rPr>
          <w:rFonts w:cs="Arial"/>
          <w:szCs w:val="22"/>
        </w:rPr>
        <w:t xml:space="preserve"> public bodies must meet, underpinned by more specific duties which are designed to help meet them. </w:t>
      </w:r>
    </w:p>
    <w:p w:rsidR="0094597E" w:rsidRPr="006359DD" w:rsidRDefault="0094597E" w:rsidP="001D15EB">
      <w:pPr>
        <w:autoSpaceDE w:val="0"/>
        <w:autoSpaceDN w:val="0"/>
        <w:adjustRightInd w:val="0"/>
        <w:ind w:left="360"/>
        <w:jc w:val="both"/>
        <w:rPr>
          <w:rFonts w:cs="Arial"/>
          <w:szCs w:val="22"/>
        </w:rPr>
      </w:pPr>
    </w:p>
    <w:p w:rsidR="0094597E" w:rsidRPr="006359DD" w:rsidRDefault="0094597E" w:rsidP="001D15EB">
      <w:pPr>
        <w:ind w:left="709" w:hanging="709"/>
        <w:jc w:val="both"/>
      </w:pPr>
      <w:r w:rsidRPr="006359DD">
        <w:rPr>
          <w:rFonts w:cs="Arial"/>
          <w:szCs w:val="22"/>
        </w:rPr>
        <w:t>12.2</w:t>
      </w:r>
      <w:r w:rsidRPr="006359DD">
        <w:rPr>
          <w:rFonts w:cs="Arial"/>
          <w:szCs w:val="22"/>
        </w:rPr>
        <w:tab/>
      </w:r>
      <w:r w:rsidRPr="006359DD">
        <w:rPr>
          <w:rFonts w:cs="Arial"/>
          <w:szCs w:val="22"/>
        </w:rPr>
        <w:tab/>
        <w:t xml:space="preserve">In line with the Public Sector Equality Duty, public bodies must, in the exercise of its functions, give </w:t>
      </w:r>
      <w:r w:rsidRPr="00F26938">
        <w:rPr>
          <w:rFonts w:cs="Arial"/>
          <w:bCs/>
          <w:szCs w:val="22"/>
        </w:rPr>
        <w:t>due regard</w:t>
      </w:r>
      <w:r w:rsidRPr="006359DD">
        <w:rPr>
          <w:rFonts w:cs="Arial"/>
          <w:szCs w:val="22"/>
        </w:rPr>
        <w:t xml:space="preserve"> to the need to eliminate discrimination, harassment, victimisation, to advance equality of opportunity and foster good relations between those who share a protected characteristic and those who do not.</w:t>
      </w:r>
    </w:p>
    <w:p w:rsidR="00C00BF5" w:rsidRPr="006359DD" w:rsidRDefault="00C00BF5" w:rsidP="001D15EB">
      <w:pPr>
        <w:ind w:left="709" w:hanging="709"/>
        <w:jc w:val="both"/>
      </w:pPr>
    </w:p>
    <w:p w:rsidR="0094597E" w:rsidRPr="006359DD" w:rsidRDefault="0094597E" w:rsidP="001D15EB">
      <w:pPr>
        <w:ind w:left="709" w:hanging="709"/>
        <w:jc w:val="both"/>
      </w:pPr>
      <w:r w:rsidRPr="006359DD">
        <w:t xml:space="preserve">12.3     For any individual new revenue investment proposal of £50k or more, or affecting more than two wards, a brief equality analysis is required to be carried out to demonstrate that the authority has taken full account of any negative, or positive, equalities implications; this will take place following </w:t>
      </w:r>
      <w:r>
        <w:t xml:space="preserve">Council’s </w:t>
      </w:r>
      <w:r w:rsidRPr="006359DD">
        <w:t xml:space="preserve">agreement of </w:t>
      </w:r>
      <w:r>
        <w:t xml:space="preserve">any additional </w:t>
      </w:r>
      <w:r w:rsidRPr="006359DD">
        <w:t>investment</w:t>
      </w:r>
      <w:r>
        <w:t xml:space="preserve"> by NHDC</w:t>
      </w:r>
      <w:r w:rsidRPr="006359DD">
        <w:t>.</w:t>
      </w:r>
    </w:p>
    <w:p w:rsidR="00365856" w:rsidRDefault="00365856" w:rsidP="001D15EB">
      <w:pPr>
        <w:jc w:val="both"/>
      </w:pPr>
    </w:p>
    <w:p w:rsidR="00365856" w:rsidRPr="00365856" w:rsidRDefault="00365856" w:rsidP="001D15EB">
      <w:pPr>
        <w:jc w:val="both"/>
        <w:rPr>
          <w:b/>
        </w:rPr>
      </w:pPr>
      <w:r>
        <w:rPr>
          <w:b/>
        </w:rPr>
        <w:t>13.</w:t>
      </w:r>
      <w:r>
        <w:rPr>
          <w:b/>
        </w:rPr>
        <w:tab/>
        <w:t>SOCIAL VALUE IMPLICATIONS</w:t>
      </w:r>
    </w:p>
    <w:p w:rsidR="00365856" w:rsidRDefault="00365856" w:rsidP="001D15EB">
      <w:pPr>
        <w:jc w:val="both"/>
      </w:pPr>
    </w:p>
    <w:p w:rsidR="0094597E" w:rsidRPr="006359DD" w:rsidRDefault="0094597E" w:rsidP="001D15EB">
      <w:pPr>
        <w:jc w:val="both"/>
      </w:pPr>
      <w:r w:rsidRPr="006359DD">
        <w:rPr>
          <w:rFonts w:cs="Arial"/>
          <w:szCs w:val="22"/>
        </w:rPr>
        <w:t>13.1</w:t>
      </w:r>
      <w:r w:rsidRPr="006359DD">
        <w:rPr>
          <w:rFonts w:cs="Arial"/>
          <w:szCs w:val="22"/>
        </w:rPr>
        <w:tab/>
        <w:t xml:space="preserve">As the recommendations made in this report do not constitute a public service </w:t>
      </w:r>
      <w:r w:rsidRPr="006359DD">
        <w:rPr>
          <w:rFonts w:cs="Arial"/>
          <w:szCs w:val="22"/>
        </w:rPr>
        <w:tab/>
        <w:t xml:space="preserve">contract, the measurement of ‘social value’ as required by the Public Services </w:t>
      </w:r>
      <w:r w:rsidRPr="006359DD">
        <w:rPr>
          <w:rFonts w:cs="Arial"/>
          <w:szCs w:val="22"/>
        </w:rPr>
        <w:tab/>
        <w:t xml:space="preserve">(Social Value) Act 2012 need not be applied, although equalities implications and </w:t>
      </w:r>
      <w:r w:rsidRPr="006359DD">
        <w:rPr>
          <w:rFonts w:cs="Arial"/>
          <w:szCs w:val="22"/>
        </w:rPr>
        <w:tab/>
        <w:t xml:space="preserve">opportunities are identified in the relevant section at </w:t>
      </w:r>
      <w:r>
        <w:rPr>
          <w:rFonts w:cs="Arial"/>
          <w:szCs w:val="22"/>
        </w:rPr>
        <w:t xml:space="preserve">paragraphs 12. Any individual </w:t>
      </w:r>
      <w:r>
        <w:rPr>
          <w:rFonts w:cs="Arial"/>
          <w:szCs w:val="22"/>
        </w:rPr>
        <w:tab/>
      </w:r>
      <w:r w:rsidRPr="006359DD">
        <w:rPr>
          <w:rFonts w:cs="Arial"/>
          <w:szCs w:val="22"/>
        </w:rPr>
        <w:t xml:space="preserve">award of a public service contract will be evaluated in terms of its social value through </w:t>
      </w:r>
      <w:r w:rsidRPr="006359DD">
        <w:rPr>
          <w:rFonts w:cs="Arial"/>
          <w:szCs w:val="22"/>
        </w:rPr>
        <w:tab/>
        <w:t>the Council’s procurement processes.</w:t>
      </w:r>
    </w:p>
    <w:p w:rsidR="0094597E" w:rsidRDefault="0094597E" w:rsidP="001D15EB">
      <w:pPr>
        <w:jc w:val="both"/>
      </w:pPr>
    </w:p>
    <w:p w:rsidR="00365856" w:rsidRPr="00365856" w:rsidRDefault="00365856" w:rsidP="001D15EB">
      <w:pPr>
        <w:jc w:val="both"/>
        <w:rPr>
          <w:b/>
        </w:rPr>
      </w:pPr>
      <w:r w:rsidRPr="00365856">
        <w:rPr>
          <w:b/>
        </w:rPr>
        <w:t xml:space="preserve">14. </w:t>
      </w:r>
      <w:r>
        <w:rPr>
          <w:b/>
        </w:rPr>
        <w:tab/>
        <w:t>HUMAN RESOURCE IMPLICATIONS</w:t>
      </w:r>
    </w:p>
    <w:p w:rsidR="00C679CA" w:rsidRDefault="00C679CA" w:rsidP="001D15EB">
      <w:pPr>
        <w:jc w:val="both"/>
      </w:pPr>
    </w:p>
    <w:p w:rsidR="00D7171B" w:rsidRDefault="00D7171B" w:rsidP="001D15EB">
      <w:pPr>
        <w:ind w:left="720" w:hanging="720"/>
        <w:jc w:val="both"/>
      </w:pPr>
      <w:r>
        <w:t>14.1</w:t>
      </w:r>
      <w:r>
        <w:tab/>
        <w:t xml:space="preserve">The </w:t>
      </w:r>
      <w:r w:rsidR="00670D14">
        <w:t>demands</w:t>
      </w:r>
      <w:r>
        <w:t xml:space="preserve"> of this project have required the temporary transfer of Senior Managers and Project Support staff to the Hitchin Town Hall project to develop alternative options and to minimise risk. The </w:t>
      </w:r>
      <w:r w:rsidR="00670D14">
        <w:t xml:space="preserve">additional time </w:t>
      </w:r>
      <w:r>
        <w:t xml:space="preserve">having to be committed to this project including that of Chief Officers has created pressures </w:t>
      </w:r>
      <w:r w:rsidR="00670D14">
        <w:t xml:space="preserve">and delays </w:t>
      </w:r>
      <w:r>
        <w:t xml:space="preserve">on other important work programmes elsewhere. </w:t>
      </w:r>
    </w:p>
    <w:p w:rsidR="00D7171B" w:rsidRDefault="00D7171B" w:rsidP="001D15EB">
      <w:pPr>
        <w:contextualSpacing/>
        <w:jc w:val="both"/>
      </w:pPr>
    </w:p>
    <w:p w:rsidR="00AF0EEB" w:rsidRDefault="00AF0EEB" w:rsidP="001D15EB">
      <w:pPr>
        <w:ind w:left="720" w:hanging="720"/>
        <w:contextualSpacing/>
        <w:jc w:val="both"/>
      </w:pPr>
      <w:r>
        <w:t>14.2</w:t>
      </w:r>
      <w:r>
        <w:tab/>
      </w:r>
      <w:r w:rsidR="00D7171B">
        <w:t xml:space="preserve">There is concern that Officers involved have added work pressures because of the time that has had to be put into this project. In addition they have been exposed over the long term to </w:t>
      </w:r>
      <w:proofErr w:type="gramStart"/>
      <w:r w:rsidR="00D7171B">
        <w:t>an</w:t>
      </w:r>
      <w:proofErr w:type="gramEnd"/>
      <w:r w:rsidR="00D7171B">
        <w:t xml:space="preserve"> </w:t>
      </w:r>
      <w:r w:rsidR="0086303F">
        <w:t>difficult and sometimes hostile</w:t>
      </w:r>
      <w:r w:rsidR="00D7171B">
        <w:t xml:space="preserve"> working environment with Hitchin Town Hall Ltd and this is not a sustainable long term approach for the wellbeing of those individuals. </w:t>
      </w:r>
    </w:p>
    <w:p w:rsidR="00AF0EEB" w:rsidRDefault="00AF0EEB" w:rsidP="001D15EB">
      <w:pPr>
        <w:jc w:val="both"/>
      </w:pPr>
    </w:p>
    <w:p w:rsidR="00D7171B" w:rsidRDefault="00AF0EEB" w:rsidP="001D15EB">
      <w:pPr>
        <w:ind w:left="720" w:hanging="720"/>
        <w:jc w:val="both"/>
      </w:pPr>
      <w:r>
        <w:t>14.3</w:t>
      </w:r>
      <w:r>
        <w:tab/>
      </w:r>
      <w:r w:rsidR="00D7171B">
        <w:t>The preferred option will require additional management resources as highlighted in the costings for Option 3.</w:t>
      </w:r>
      <w:r w:rsidR="00226B1C">
        <w:t xml:space="preserve">  These </w:t>
      </w:r>
      <w:r w:rsidR="00D25C56">
        <w:t xml:space="preserve">resources if approved would help manage the additional workload described above. </w:t>
      </w:r>
      <w:r w:rsidR="00AE50BC">
        <w:t xml:space="preserve"> </w:t>
      </w:r>
    </w:p>
    <w:p w:rsidR="00AF0EEB" w:rsidRDefault="00AF0EEB" w:rsidP="001D15EB">
      <w:pPr>
        <w:jc w:val="both"/>
      </w:pPr>
    </w:p>
    <w:p w:rsidR="00D7171B" w:rsidRDefault="00AF0EEB" w:rsidP="001D15EB">
      <w:pPr>
        <w:ind w:left="720" w:hanging="720"/>
        <w:jc w:val="both"/>
      </w:pPr>
      <w:r>
        <w:lastRenderedPageBreak/>
        <w:t>14.4</w:t>
      </w:r>
      <w:r>
        <w:tab/>
      </w:r>
      <w:r w:rsidR="00D7171B">
        <w:t xml:space="preserve">The </w:t>
      </w:r>
      <w:r w:rsidR="00294EEC">
        <w:t>M</w:t>
      </w:r>
      <w:r w:rsidR="00D7171B">
        <w:t xml:space="preserve">useum staff </w:t>
      </w:r>
      <w:proofErr w:type="gramStart"/>
      <w:r w:rsidR="00D7171B">
        <w:t>have</w:t>
      </w:r>
      <w:proofErr w:type="gramEnd"/>
      <w:r w:rsidR="00D7171B">
        <w:t xml:space="preserve"> already been through </w:t>
      </w:r>
      <w:r>
        <w:t>a</w:t>
      </w:r>
      <w:r w:rsidR="00D7171B">
        <w:t xml:space="preserve"> restructure and formal consultation process that included the possibility of the staff working on the Town Hall as well as the </w:t>
      </w:r>
      <w:r>
        <w:t>M</w:t>
      </w:r>
      <w:r w:rsidR="00D7171B">
        <w:t xml:space="preserve">useum. Communications with staff to update them on the latest position will follow. </w:t>
      </w:r>
    </w:p>
    <w:p w:rsidR="001C050F" w:rsidRDefault="001C050F"/>
    <w:p w:rsidR="00844CED" w:rsidRDefault="00844CED">
      <w:pPr>
        <w:rPr>
          <w:b/>
        </w:rPr>
      </w:pPr>
      <w:r>
        <w:rPr>
          <w:b/>
        </w:rPr>
        <w:t>1</w:t>
      </w:r>
      <w:r w:rsidR="00F40711">
        <w:rPr>
          <w:b/>
        </w:rPr>
        <w:t>5</w:t>
      </w:r>
      <w:r>
        <w:rPr>
          <w:b/>
        </w:rPr>
        <w:t>.</w:t>
      </w:r>
      <w:r>
        <w:rPr>
          <w:b/>
        </w:rPr>
        <w:tab/>
        <w:t>CONTACT OFFICERS</w:t>
      </w:r>
    </w:p>
    <w:p w:rsidR="00844CED" w:rsidRDefault="00844CED"/>
    <w:p w:rsidR="00DB2F46" w:rsidRDefault="00F40711" w:rsidP="00DB2F46">
      <w:r>
        <w:t>15</w:t>
      </w:r>
      <w:r w:rsidR="00DB2F46">
        <w:t>.1</w:t>
      </w:r>
      <w:r w:rsidR="00DB2F46">
        <w:tab/>
        <w:t>John Robinson</w:t>
      </w:r>
    </w:p>
    <w:p w:rsidR="00DB2F46" w:rsidRDefault="00DB2F46" w:rsidP="00DB2F46">
      <w:pPr>
        <w:ind w:left="720"/>
      </w:pPr>
      <w:r>
        <w:t xml:space="preserve">Strategic Director Customer Services &amp; Project Executive </w:t>
      </w:r>
    </w:p>
    <w:p w:rsidR="00DB2F46" w:rsidRDefault="00DB2F46" w:rsidP="00DB2F46">
      <w:pPr>
        <w:ind w:left="720"/>
      </w:pPr>
      <w:r>
        <w:t xml:space="preserve">Tel:  </w:t>
      </w:r>
      <w:r>
        <w:tab/>
        <w:t>01462 474655</w:t>
      </w:r>
    </w:p>
    <w:p w:rsidR="00DB2F46" w:rsidRDefault="00BF7B2C" w:rsidP="00DB2F46">
      <w:pPr>
        <w:ind w:left="720"/>
      </w:pPr>
      <w:hyperlink r:id="rId8" w:history="1">
        <w:r w:rsidR="0090356B" w:rsidRPr="00DF2C66">
          <w:rPr>
            <w:rStyle w:val="Hyperlink"/>
          </w:rPr>
          <w:t>john.robinson@north-herts.gov.uk</w:t>
        </w:r>
      </w:hyperlink>
      <w:r w:rsidR="00DB2F46">
        <w:t xml:space="preserve"> </w:t>
      </w:r>
    </w:p>
    <w:p w:rsidR="00DB2F46" w:rsidRDefault="00DB2F46" w:rsidP="00DB2F46"/>
    <w:p w:rsidR="00DB2F46" w:rsidRDefault="00DB2F46" w:rsidP="003E34D1">
      <w:pPr>
        <w:ind w:firstLine="720"/>
        <w:rPr>
          <w:b/>
        </w:rPr>
      </w:pPr>
      <w:r>
        <w:rPr>
          <w:b/>
        </w:rPr>
        <w:t xml:space="preserve">Contributors </w:t>
      </w:r>
    </w:p>
    <w:p w:rsidR="00DB2F46" w:rsidRDefault="00DB2F46" w:rsidP="00DB2F46">
      <w:pPr>
        <w:rPr>
          <w:b/>
        </w:rPr>
      </w:pPr>
    </w:p>
    <w:p w:rsidR="00DB2F46" w:rsidRDefault="00F40711" w:rsidP="00DB2F46">
      <w:r>
        <w:t>15</w:t>
      </w:r>
      <w:r w:rsidR="00DB2F46">
        <w:t>.2</w:t>
      </w:r>
      <w:r w:rsidR="00DB2F46">
        <w:tab/>
        <w:t xml:space="preserve">Steve Crowley </w:t>
      </w:r>
    </w:p>
    <w:p w:rsidR="00DB2F46" w:rsidRDefault="00DB2F46" w:rsidP="00DB2F46">
      <w:pPr>
        <w:ind w:left="720"/>
      </w:pPr>
      <w:r>
        <w:t xml:space="preserve">Project &amp; Contracts Manager </w:t>
      </w:r>
    </w:p>
    <w:p w:rsidR="00DB2F46" w:rsidRDefault="00DB2F46" w:rsidP="00DB2F46">
      <w:pPr>
        <w:ind w:left="720"/>
      </w:pPr>
      <w:r>
        <w:t>Tel:</w:t>
      </w:r>
      <w:r>
        <w:tab/>
        <w:t>01462 474211</w:t>
      </w:r>
    </w:p>
    <w:p w:rsidR="00DB2F46" w:rsidRDefault="00BF7B2C" w:rsidP="00DB2F46">
      <w:pPr>
        <w:ind w:left="720"/>
      </w:pPr>
      <w:hyperlink r:id="rId9" w:history="1">
        <w:r w:rsidR="0090356B" w:rsidRPr="00DF2C66">
          <w:rPr>
            <w:rStyle w:val="Hyperlink"/>
          </w:rPr>
          <w:t>steve.crowley@north-herts.gov.uk</w:t>
        </w:r>
      </w:hyperlink>
      <w:r w:rsidR="00DB2F46">
        <w:t xml:space="preserve"> </w:t>
      </w:r>
    </w:p>
    <w:p w:rsidR="00844CED" w:rsidRDefault="00844CED"/>
    <w:p w:rsidR="00DB2F46" w:rsidRDefault="00F40711">
      <w:r>
        <w:t>15.</w:t>
      </w:r>
      <w:r w:rsidR="00DB2F46">
        <w:t>3</w:t>
      </w:r>
      <w:r w:rsidR="00DB2F46">
        <w:tab/>
        <w:t>Jack Hughes</w:t>
      </w:r>
    </w:p>
    <w:p w:rsidR="00DB2F46" w:rsidRDefault="00DB2F46">
      <w:r>
        <w:tab/>
        <w:t xml:space="preserve">Project Support Officer </w:t>
      </w:r>
    </w:p>
    <w:p w:rsidR="00DB2F46" w:rsidRDefault="00DB2F46">
      <w:r>
        <w:tab/>
      </w:r>
      <w:hyperlink r:id="rId10" w:history="1">
        <w:r w:rsidR="0090356B" w:rsidRPr="00DF2C66">
          <w:rPr>
            <w:rStyle w:val="Hyperlink"/>
          </w:rPr>
          <w:t>jack.hughes@north-herts.gov.uk</w:t>
        </w:r>
      </w:hyperlink>
      <w:r>
        <w:t xml:space="preserve"> </w:t>
      </w:r>
    </w:p>
    <w:p w:rsidR="00DB2F46" w:rsidRDefault="00DB2F46">
      <w:r>
        <w:tab/>
        <w:t>Tel:</w:t>
      </w:r>
      <w:r>
        <w:tab/>
        <w:t>01462 474850</w:t>
      </w:r>
    </w:p>
    <w:p w:rsidR="00DB2F46" w:rsidRDefault="00DB2F46"/>
    <w:p w:rsidR="00DB2F46" w:rsidRDefault="00F40711" w:rsidP="00DB2F46">
      <w:r>
        <w:t>15</w:t>
      </w:r>
      <w:r w:rsidR="00DB2F46">
        <w:t>.4</w:t>
      </w:r>
      <w:r w:rsidR="00DB2F46">
        <w:tab/>
        <w:t xml:space="preserve">Antonio Ciampa </w:t>
      </w:r>
    </w:p>
    <w:p w:rsidR="00DB2F46" w:rsidRDefault="00DB2F46" w:rsidP="00DB2F46">
      <w:r>
        <w:tab/>
        <w:t xml:space="preserve">Group Accountant  </w:t>
      </w:r>
    </w:p>
    <w:p w:rsidR="00DB2F46" w:rsidRDefault="00DB2F46" w:rsidP="00DB2F46">
      <w:r>
        <w:tab/>
        <w:t>Tel:</w:t>
      </w:r>
      <w:r>
        <w:tab/>
        <w:t>01462 474566</w:t>
      </w:r>
    </w:p>
    <w:p w:rsidR="00DB2F46" w:rsidRDefault="00DB2F46" w:rsidP="00DB2F46">
      <w:r>
        <w:tab/>
      </w:r>
      <w:hyperlink r:id="rId11" w:history="1">
        <w:r w:rsidR="0090356B" w:rsidRPr="00DF2C66">
          <w:rPr>
            <w:rStyle w:val="Hyperlink"/>
          </w:rPr>
          <w:t>antonio.ciampa@north-herts.gov.uk</w:t>
        </w:r>
      </w:hyperlink>
      <w:r>
        <w:t xml:space="preserve">   </w:t>
      </w:r>
    </w:p>
    <w:p w:rsidR="00DB2F46" w:rsidRDefault="00DB2F46" w:rsidP="00DB2F46"/>
    <w:p w:rsidR="00DB2F46" w:rsidRDefault="00F40711" w:rsidP="00DB2F46">
      <w:r>
        <w:t>15</w:t>
      </w:r>
      <w:r w:rsidR="00DB2F46">
        <w:t>.5</w:t>
      </w:r>
      <w:r w:rsidR="00DB2F46">
        <w:tab/>
        <w:t>Anthony Roche</w:t>
      </w:r>
    </w:p>
    <w:p w:rsidR="00DB2F46" w:rsidRDefault="00DB2F46" w:rsidP="00DB2F46">
      <w:r>
        <w:tab/>
        <w:t>Acting Corporate Legal Manager</w:t>
      </w:r>
    </w:p>
    <w:p w:rsidR="00DB2F46" w:rsidRDefault="00DB2F46" w:rsidP="00DB2F46">
      <w:r>
        <w:tab/>
        <w:t>Tel:</w:t>
      </w:r>
      <w:r>
        <w:tab/>
        <w:t>01462 474588</w:t>
      </w:r>
    </w:p>
    <w:p w:rsidR="00DB2F46" w:rsidRDefault="00DB2F46" w:rsidP="00DB2F46">
      <w:r>
        <w:tab/>
      </w:r>
      <w:hyperlink r:id="rId12" w:history="1">
        <w:r w:rsidRPr="00D07713">
          <w:rPr>
            <w:rStyle w:val="Hyperlink"/>
          </w:rPr>
          <w:t>anthony.roche@north-herts.gov.uk</w:t>
        </w:r>
      </w:hyperlink>
      <w:r>
        <w:t xml:space="preserve"> </w:t>
      </w:r>
    </w:p>
    <w:p w:rsidR="004075C5" w:rsidRDefault="004075C5" w:rsidP="00DB2F46"/>
    <w:p w:rsidR="00DB2F46" w:rsidRDefault="00F40711" w:rsidP="00DB2F46">
      <w:r>
        <w:t>15</w:t>
      </w:r>
      <w:r w:rsidR="00DB2F46">
        <w:t>.6</w:t>
      </w:r>
      <w:r w:rsidR="00DB2F46">
        <w:tab/>
        <w:t xml:space="preserve">Fiona Timms </w:t>
      </w:r>
    </w:p>
    <w:p w:rsidR="00DB2F46" w:rsidRDefault="00DB2F46" w:rsidP="00DB2F46">
      <w:r>
        <w:tab/>
        <w:t xml:space="preserve">Performance &amp; Risk Manager </w:t>
      </w:r>
    </w:p>
    <w:p w:rsidR="00DB2F46" w:rsidRDefault="00DB2F46" w:rsidP="00DB2F46">
      <w:r>
        <w:tab/>
        <w:t>Tel:</w:t>
      </w:r>
      <w:r>
        <w:tab/>
        <w:t>01462 474251</w:t>
      </w:r>
    </w:p>
    <w:p w:rsidR="00DB2F46" w:rsidRDefault="00DB2F46" w:rsidP="00DB2F46">
      <w:r>
        <w:tab/>
      </w:r>
      <w:hyperlink r:id="rId13" w:history="1">
        <w:r w:rsidRPr="00D01E35">
          <w:rPr>
            <w:rStyle w:val="Hyperlink"/>
          </w:rPr>
          <w:t>fiona.timms@north-herts.gov.uk</w:t>
        </w:r>
      </w:hyperlink>
      <w:r>
        <w:t xml:space="preserve"> </w:t>
      </w:r>
    </w:p>
    <w:p w:rsidR="00DB2F46" w:rsidRDefault="00DB2F46" w:rsidP="00DB2F46"/>
    <w:p w:rsidR="00DB2F46" w:rsidRDefault="00F40711" w:rsidP="00DB2F46">
      <w:r>
        <w:t>15</w:t>
      </w:r>
      <w:r w:rsidR="00DB2F46">
        <w:t>.7</w:t>
      </w:r>
      <w:r w:rsidR="00DB2F46">
        <w:tab/>
        <w:t xml:space="preserve">Liz Green </w:t>
      </w:r>
    </w:p>
    <w:p w:rsidR="00DB2F46" w:rsidRDefault="00DB2F46" w:rsidP="00DB2F46">
      <w:r>
        <w:tab/>
        <w:t xml:space="preserve">Head of Policy &amp; Community Development </w:t>
      </w:r>
    </w:p>
    <w:p w:rsidR="00DB2F46" w:rsidRDefault="00DB2F46" w:rsidP="007F4B41">
      <w:pPr>
        <w:tabs>
          <w:tab w:val="left" w:pos="720"/>
          <w:tab w:val="left" w:pos="1440"/>
          <w:tab w:val="left" w:pos="2160"/>
          <w:tab w:val="left" w:pos="2880"/>
          <w:tab w:val="left" w:pos="6975"/>
        </w:tabs>
      </w:pPr>
      <w:r>
        <w:tab/>
        <w:t>Tel:</w:t>
      </w:r>
      <w:r>
        <w:tab/>
        <w:t>01462 474230</w:t>
      </w:r>
      <w:r w:rsidR="007F4B41">
        <w:tab/>
      </w:r>
      <w:r w:rsidR="007F4B41">
        <w:tab/>
      </w:r>
    </w:p>
    <w:p w:rsidR="00DB2F46" w:rsidRDefault="00DB2F46" w:rsidP="00DB2F46">
      <w:r>
        <w:tab/>
      </w:r>
      <w:hyperlink r:id="rId14" w:history="1">
        <w:r w:rsidR="0090356B" w:rsidRPr="00DF2C66">
          <w:rPr>
            <w:rStyle w:val="Hyperlink"/>
          </w:rPr>
          <w:t>liz.green@north-herts.gov.uk</w:t>
        </w:r>
      </w:hyperlink>
      <w:r>
        <w:t xml:space="preserve"> </w:t>
      </w:r>
    </w:p>
    <w:p w:rsidR="00DB2F46" w:rsidRDefault="00DB2F46" w:rsidP="00DB2F46"/>
    <w:p w:rsidR="00DB2F46" w:rsidRDefault="00DB2F46" w:rsidP="00DB2F46">
      <w:r>
        <w:t>1</w:t>
      </w:r>
      <w:r w:rsidR="00F40711">
        <w:t>5</w:t>
      </w:r>
      <w:r>
        <w:t>.8</w:t>
      </w:r>
      <w:r>
        <w:tab/>
        <w:t>Kerry Shorrocks</w:t>
      </w:r>
    </w:p>
    <w:p w:rsidR="00DB2F46" w:rsidRDefault="00DB2F46" w:rsidP="00DB2F46">
      <w:r>
        <w:tab/>
        <w:t xml:space="preserve">Corporate Manager Human Resources </w:t>
      </w:r>
    </w:p>
    <w:p w:rsidR="00DB2F46" w:rsidRDefault="00DB2F46" w:rsidP="00DB2F46">
      <w:r>
        <w:tab/>
        <w:t>Tel:</w:t>
      </w:r>
      <w:r>
        <w:tab/>
        <w:t>01462 474224</w:t>
      </w:r>
    </w:p>
    <w:p w:rsidR="00DB2F46" w:rsidRDefault="00DB2F46" w:rsidP="00DB2F46">
      <w:r>
        <w:tab/>
      </w:r>
      <w:hyperlink r:id="rId15" w:history="1">
        <w:r w:rsidR="0090356B" w:rsidRPr="00DF2C66">
          <w:rPr>
            <w:rStyle w:val="Hyperlink"/>
          </w:rPr>
          <w:t>kerry.shorrocks@north-herts.gov.uk</w:t>
        </w:r>
      </w:hyperlink>
      <w:r>
        <w:t xml:space="preserve"> </w:t>
      </w:r>
    </w:p>
    <w:p w:rsidR="00005D38" w:rsidRDefault="00005D38" w:rsidP="00DB2F46"/>
    <w:p w:rsidR="00005D38" w:rsidRDefault="00005D38" w:rsidP="00DB2F46">
      <w:r>
        <w:t>1</w:t>
      </w:r>
      <w:r w:rsidR="00F40711">
        <w:t>5</w:t>
      </w:r>
      <w:r>
        <w:t>.9</w:t>
      </w:r>
      <w:r>
        <w:tab/>
        <w:t xml:space="preserve">David Scholes </w:t>
      </w:r>
    </w:p>
    <w:p w:rsidR="00005D38" w:rsidRDefault="00005D38" w:rsidP="00DB2F46">
      <w:r>
        <w:tab/>
        <w:t xml:space="preserve">Chief Executive </w:t>
      </w:r>
    </w:p>
    <w:p w:rsidR="00005D38" w:rsidRDefault="00005D38" w:rsidP="00DB2F46">
      <w:r>
        <w:tab/>
        <w:t>Tel:</w:t>
      </w:r>
      <w:r>
        <w:tab/>
        <w:t>01462 474300</w:t>
      </w:r>
    </w:p>
    <w:p w:rsidR="00005D38" w:rsidRDefault="00005D38" w:rsidP="00DB2F46">
      <w:r>
        <w:tab/>
      </w:r>
      <w:hyperlink r:id="rId16" w:history="1">
        <w:r w:rsidR="0090356B" w:rsidRPr="00DF2C66">
          <w:rPr>
            <w:rStyle w:val="Hyperlink"/>
          </w:rPr>
          <w:t>david.scholes@north-herts.gov.uk</w:t>
        </w:r>
      </w:hyperlink>
      <w:r>
        <w:t xml:space="preserve"> </w:t>
      </w:r>
    </w:p>
    <w:p w:rsidR="00DB2F46" w:rsidRDefault="00DB2F46"/>
    <w:p w:rsidR="00844CED" w:rsidRDefault="00844CED">
      <w:pPr>
        <w:rPr>
          <w:b/>
        </w:rPr>
      </w:pPr>
      <w:r>
        <w:rPr>
          <w:b/>
        </w:rPr>
        <w:lastRenderedPageBreak/>
        <w:t>1</w:t>
      </w:r>
      <w:r w:rsidR="00F40711">
        <w:rPr>
          <w:b/>
        </w:rPr>
        <w:t>6</w:t>
      </w:r>
      <w:r>
        <w:rPr>
          <w:b/>
        </w:rPr>
        <w:t>.</w:t>
      </w:r>
      <w:r>
        <w:rPr>
          <w:b/>
        </w:rPr>
        <w:tab/>
        <w:t>BACKGROUND PAPERS</w:t>
      </w:r>
    </w:p>
    <w:p w:rsidR="00DB2F46" w:rsidRDefault="00DB2F46">
      <w:pPr>
        <w:rPr>
          <w:b/>
        </w:rPr>
      </w:pPr>
    </w:p>
    <w:p w:rsidR="00DB2F46" w:rsidRPr="005D38C9" w:rsidRDefault="004C79B1" w:rsidP="0090356B">
      <w:pPr>
        <w:jc w:val="both"/>
        <w:rPr>
          <w:rFonts w:cs="Arial"/>
          <w:szCs w:val="22"/>
        </w:rPr>
      </w:pPr>
      <w:r>
        <w:rPr>
          <w:rFonts w:cs="Arial"/>
          <w:szCs w:val="22"/>
        </w:rPr>
        <w:t>16.1</w:t>
      </w:r>
      <w:r w:rsidR="00DB2F46" w:rsidRPr="005D38C9">
        <w:rPr>
          <w:rFonts w:cs="Arial"/>
          <w:szCs w:val="22"/>
        </w:rPr>
        <w:tab/>
      </w:r>
      <w:proofErr w:type="gramStart"/>
      <w:r w:rsidR="00DB2F46" w:rsidRPr="005D38C9">
        <w:rPr>
          <w:rFonts w:cs="Arial"/>
          <w:szCs w:val="22"/>
        </w:rPr>
        <w:t>Report</w:t>
      </w:r>
      <w:proofErr w:type="gramEnd"/>
      <w:r w:rsidR="00DB2F46" w:rsidRPr="005D38C9">
        <w:rPr>
          <w:rFonts w:cs="Arial"/>
          <w:szCs w:val="22"/>
        </w:rPr>
        <w:t xml:space="preserve"> to Cabinet 23</w:t>
      </w:r>
      <w:r w:rsidR="00DB2F46" w:rsidRPr="005D38C9">
        <w:rPr>
          <w:rFonts w:cs="Arial"/>
          <w:szCs w:val="22"/>
          <w:vertAlign w:val="superscript"/>
        </w:rPr>
        <w:t>rd</w:t>
      </w:r>
      <w:r w:rsidR="00DB2F46" w:rsidRPr="005D38C9">
        <w:rPr>
          <w:rFonts w:cs="Arial"/>
          <w:szCs w:val="22"/>
        </w:rPr>
        <w:t xml:space="preserve"> August 2005 on the Findings of the Review of the North Herts </w:t>
      </w:r>
      <w:r w:rsidR="00DB2F46" w:rsidRPr="005D38C9">
        <w:rPr>
          <w:rFonts w:cs="Arial"/>
          <w:szCs w:val="22"/>
        </w:rPr>
        <w:tab/>
        <w:t>Museums Services.</w:t>
      </w:r>
    </w:p>
    <w:p w:rsidR="00DB2F46" w:rsidRDefault="00DB2F46" w:rsidP="0090356B">
      <w:pPr>
        <w:jc w:val="both"/>
        <w:rPr>
          <w:rFonts w:cs="Arial"/>
          <w:szCs w:val="22"/>
        </w:rPr>
      </w:pPr>
    </w:p>
    <w:p w:rsidR="00DB2F46" w:rsidRPr="005D38C9" w:rsidRDefault="004C79B1" w:rsidP="0090356B">
      <w:pPr>
        <w:jc w:val="both"/>
        <w:rPr>
          <w:rFonts w:cs="Arial"/>
          <w:szCs w:val="22"/>
        </w:rPr>
      </w:pPr>
      <w:r>
        <w:rPr>
          <w:rFonts w:cs="Arial"/>
          <w:szCs w:val="22"/>
        </w:rPr>
        <w:t>16</w:t>
      </w:r>
      <w:r w:rsidR="00DB2F46">
        <w:rPr>
          <w:rFonts w:cs="Arial"/>
          <w:szCs w:val="22"/>
        </w:rPr>
        <w:t>.2</w:t>
      </w:r>
      <w:r w:rsidR="00DB2F46">
        <w:rPr>
          <w:rFonts w:cs="Arial"/>
          <w:szCs w:val="22"/>
        </w:rPr>
        <w:tab/>
      </w:r>
      <w:proofErr w:type="gramStart"/>
      <w:r w:rsidR="00DB2F46" w:rsidRPr="005D38C9">
        <w:rPr>
          <w:rFonts w:cs="Arial"/>
          <w:szCs w:val="22"/>
        </w:rPr>
        <w:t>Report</w:t>
      </w:r>
      <w:proofErr w:type="gramEnd"/>
      <w:r w:rsidR="00DB2F46" w:rsidRPr="005D38C9">
        <w:rPr>
          <w:rFonts w:cs="Arial"/>
          <w:szCs w:val="22"/>
        </w:rPr>
        <w:t xml:space="preserve"> to Cabinet 27</w:t>
      </w:r>
      <w:r w:rsidR="00DB2F46" w:rsidRPr="005D38C9">
        <w:rPr>
          <w:rFonts w:cs="Arial"/>
          <w:szCs w:val="22"/>
          <w:vertAlign w:val="superscript"/>
        </w:rPr>
        <w:t>th</w:t>
      </w:r>
      <w:r w:rsidR="00DB2F46" w:rsidRPr="005D38C9">
        <w:rPr>
          <w:rFonts w:cs="Arial"/>
          <w:szCs w:val="22"/>
        </w:rPr>
        <w:t xml:space="preserve"> January 2009 on the Future of Museums Services.</w:t>
      </w:r>
    </w:p>
    <w:p w:rsidR="00DB2F46" w:rsidRDefault="00DB2F46" w:rsidP="0090356B">
      <w:pPr>
        <w:jc w:val="both"/>
        <w:rPr>
          <w:rFonts w:cs="Arial"/>
          <w:szCs w:val="22"/>
        </w:rPr>
      </w:pPr>
    </w:p>
    <w:p w:rsidR="00DB2F46" w:rsidRDefault="004C79B1" w:rsidP="0090356B">
      <w:pPr>
        <w:ind w:left="720" w:hanging="720"/>
        <w:jc w:val="both"/>
        <w:rPr>
          <w:rFonts w:cs="Arial"/>
          <w:szCs w:val="22"/>
        </w:rPr>
      </w:pPr>
      <w:r>
        <w:rPr>
          <w:rFonts w:cs="Arial"/>
          <w:szCs w:val="22"/>
        </w:rPr>
        <w:t>16</w:t>
      </w:r>
      <w:r w:rsidR="00DB2F46">
        <w:rPr>
          <w:rFonts w:cs="Arial"/>
          <w:szCs w:val="22"/>
        </w:rPr>
        <w:t>.3</w:t>
      </w:r>
      <w:r w:rsidR="00DB2F46">
        <w:rPr>
          <w:rFonts w:cs="Arial"/>
          <w:szCs w:val="22"/>
        </w:rPr>
        <w:tab/>
      </w:r>
      <w:r w:rsidR="00DB2F46" w:rsidRPr="005D38C9">
        <w:rPr>
          <w:rFonts w:cs="Arial"/>
          <w:szCs w:val="22"/>
        </w:rPr>
        <w:t>Cragg</w:t>
      </w:r>
      <w:bookmarkStart w:id="0" w:name="_GoBack"/>
      <w:bookmarkEnd w:id="0"/>
      <w:r w:rsidR="00DB2F46" w:rsidRPr="005D38C9">
        <w:rPr>
          <w:rFonts w:cs="Arial"/>
          <w:szCs w:val="22"/>
        </w:rPr>
        <w:t xml:space="preserve"> Management Services report on the possible relocation of North Hertfo</w:t>
      </w:r>
      <w:r w:rsidR="00DB2F46">
        <w:rPr>
          <w:rFonts w:cs="Arial"/>
          <w:szCs w:val="22"/>
        </w:rPr>
        <w:t xml:space="preserve">rdshire </w:t>
      </w:r>
      <w:r w:rsidR="00DB2F46" w:rsidRPr="005D38C9">
        <w:rPr>
          <w:rFonts w:cs="Arial"/>
          <w:szCs w:val="22"/>
        </w:rPr>
        <w:t>Museums to Hitchin Town Hall- Annex 2, Cabinet 19</w:t>
      </w:r>
      <w:r w:rsidR="00DB2F46" w:rsidRPr="005D38C9">
        <w:rPr>
          <w:rFonts w:cs="Arial"/>
          <w:szCs w:val="22"/>
          <w:vertAlign w:val="superscript"/>
        </w:rPr>
        <w:t>th</w:t>
      </w:r>
      <w:r w:rsidR="00DB2F46" w:rsidRPr="005D38C9">
        <w:rPr>
          <w:rFonts w:cs="Arial"/>
          <w:szCs w:val="22"/>
        </w:rPr>
        <w:t xml:space="preserve"> May 2009</w:t>
      </w:r>
      <w:r w:rsidR="0090356B">
        <w:rPr>
          <w:rFonts w:cs="Arial"/>
          <w:szCs w:val="22"/>
        </w:rPr>
        <w:t>.</w:t>
      </w:r>
      <w:r w:rsidR="00DB2F46" w:rsidRPr="005D38C9">
        <w:rPr>
          <w:rFonts w:cs="Arial"/>
          <w:szCs w:val="22"/>
        </w:rPr>
        <w:t xml:space="preserve"> </w:t>
      </w:r>
    </w:p>
    <w:p w:rsidR="00DB2F46" w:rsidRDefault="00DB2F46" w:rsidP="0090356B">
      <w:pPr>
        <w:ind w:left="720" w:hanging="720"/>
        <w:jc w:val="both"/>
        <w:rPr>
          <w:rFonts w:cs="Arial"/>
          <w:szCs w:val="22"/>
        </w:rPr>
      </w:pPr>
    </w:p>
    <w:p w:rsidR="00DB2F46" w:rsidRDefault="004C79B1" w:rsidP="0090356B">
      <w:pPr>
        <w:ind w:left="720" w:hanging="720"/>
        <w:jc w:val="both"/>
        <w:rPr>
          <w:rFonts w:cs="Arial"/>
          <w:szCs w:val="22"/>
        </w:rPr>
      </w:pPr>
      <w:r>
        <w:rPr>
          <w:rFonts w:cs="Arial"/>
          <w:szCs w:val="22"/>
        </w:rPr>
        <w:t>16</w:t>
      </w:r>
      <w:r w:rsidR="00DB2F46">
        <w:rPr>
          <w:rFonts w:cs="Arial"/>
          <w:szCs w:val="22"/>
        </w:rPr>
        <w:t>.4</w:t>
      </w:r>
      <w:r w:rsidR="00DB2F46">
        <w:rPr>
          <w:rFonts w:cs="Arial"/>
          <w:szCs w:val="22"/>
        </w:rPr>
        <w:tab/>
      </w:r>
      <w:proofErr w:type="gramStart"/>
      <w:r w:rsidR="00DB2F46">
        <w:rPr>
          <w:rFonts w:cs="Arial"/>
          <w:szCs w:val="22"/>
        </w:rPr>
        <w:t>Report</w:t>
      </w:r>
      <w:proofErr w:type="gramEnd"/>
      <w:r w:rsidR="00DB2F46">
        <w:rPr>
          <w:rFonts w:cs="Arial"/>
          <w:szCs w:val="22"/>
        </w:rPr>
        <w:t xml:space="preserve"> to Council on 3</w:t>
      </w:r>
      <w:r w:rsidR="00DB2F46" w:rsidRPr="00907FE0">
        <w:rPr>
          <w:rFonts w:cs="Arial"/>
          <w:szCs w:val="22"/>
          <w:vertAlign w:val="superscript"/>
        </w:rPr>
        <w:t>rd</w:t>
      </w:r>
      <w:r w:rsidR="00DB2F46">
        <w:rPr>
          <w:rFonts w:cs="Arial"/>
          <w:szCs w:val="22"/>
        </w:rPr>
        <w:t xml:space="preserve"> December 2009:  Hitchin Town Hall/Museum Feasibility Study Outcomes and Actions Arising</w:t>
      </w:r>
      <w:r w:rsidR="0090356B">
        <w:rPr>
          <w:rFonts w:cs="Arial"/>
          <w:szCs w:val="22"/>
        </w:rPr>
        <w:t>.</w:t>
      </w:r>
      <w:r w:rsidR="00DB2F46">
        <w:rPr>
          <w:rFonts w:cs="Arial"/>
          <w:szCs w:val="22"/>
        </w:rPr>
        <w:t xml:space="preserve"> </w:t>
      </w:r>
    </w:p>
    <w:p w:rsidR="00DB2F46" w:rsidRDefault="00DB2F46" w:rsidP="0090356B">
      <w:pPr>
        <w:ind w:left="720" w:hanging="720"/>
        <w:jc w:val="both"/>
        <w:rPr>
          <w:rFonts w:cs="Arial"/>
          <w:szCs w:val="22"/>
        </w:rPr>
      </w:pPr>
    </w:p>
    <w:p w:rsidR="00DB2F46" w:rsidRPr="005D38C9" w:rsidRDefault="004C79B1" w:rsidP="0090356B">
      <w:pPr>
        <w:ind w:left="720" w:hanging="720"/>
        <w:jc w:val="both"/>
        <w:rPr>
          <w:rFonts w:cs="Arial"/>
          <w:szCs w:val="22"/>
        </w:rPr>
      </w:pPr>
      <w:r>
        <w:rPr>
          <w:rFonts w:cs="Arial"/>
          <w:szCs w:val="22"/>
        </w:rPr>
        <w:t>16</w:t>
      </w:r>
      <w:r w:rsidR="00DB2F46">
        <w:rPr>
          <w:rFonts w:cs="Arial"/>
          <w:szCs w:val="22"/>
        </w:rPr>
        <w:t>.5</w:t>
      </w:r>
      <w:r w:rsidR="00DB2F46">
        <w:rPr>
          <w:rFonts w:cs="Arial"/>
          <w:szCs w:val="22"/>
        </w:rPr>
        <w:tab/>
        <w:t>Report to Council on 11</w:t>
      </w:r>
      <w:r w:rsidR="00DB2F46" w:rsidRPr="00907FE0">
        <w:rPr>
          <w:rFonts w:cs="Arial"/>
          <w:szCs w:val="22"/>
          <w:vertAlign w:val="superscript"/>
        </w:rPr>
        <w:t>th</w:t>
      </w:r>
      <w:r w:rsidR="00DB2F46">
        <w:rPr>
          <w:rFonts w:cs="Arial"/>
          <w:szCs w:val="22"/>
        </w:rPr>
        <w:t xml:space="preserve"> February 2010:  Hitchin Town Hall/</w:t>
      </w:r>
      <w:proofErr w:type="gramStart"/>
      <w:r w:rsidR="00DB2F46">
        <w:rPr>
          <w:rFonts w:cs="Arial"/>
          <w:szCs w:val="22"/>
        </w:rPr>
        <w:t>Museum  Community</w:t>
      </w:r>
      <w:proofErr w:type="gramEnd"/>
      <w:r w:rsidR="00DB2F46">
        <w:rPr>
          <w:rFonts w:cs="Arial"/>
          <w:szCs w:val="22"/>
        </w:rPr>
        <w:t xml:space="preserve"> Group Proposal</w:t>
      </w:r>
      <w:r w:rsidR="0090356B">
        <w:rPr>
          <w:rFonts w:cs="Arial"/>
          <w:szCs w:val="22"/>
        </w:rPr>
        <w:t>.</w:t>
      </w:r>
      <w:r w:rsidR="00DB2F46">
        <w:rPr>
          <w:rFonts w:cs="Arial"/>
          <w:szCs w:val="22"/>
        </w:rPr>
        <w:t xml:space="preserve"> </w:t>
      </w:r>
    </w:p>
    <w:p w:rsidR="00DB2F46" w:rsidRDefault="00DB2F46" w:rsidP="0090356B">
      <w:pPr>
        <w:jc w:val="both"/>
        <w:rPr>
          <w:rFonts w:cs="Arial"/>
          <w:szCs w:val="22"/>
        </w:rPr>
      </w:pPr>
    </w:p>
    <w:p w:rsidR="00DB2F46" w:rsidRDefault="004C79B1" w:rsidP="0090356B">
      <w:pPr>
        <w:ind w:left="720" w:hanging="720"/>
        <w:jc w:val="both"/>
        <w:rPr>
          <w:rFonts w:cs="Arial"/>
          <w:szCs w:val="22"/>
        </w:rPr>
      </w:pPr>
      <w:r>
        <w:rPr>
          <w:rFonts w:cs="Arial"/>
          <w:szCs w:val="22"/>
        </w:rPr>
        <w:t>16</w:t>
      </w:r>
      <w:r w:rsidR="00DB2F46">
        <w:rPr>
          <w:rFonts w:cs="Arial"/>
          <w:szCs w:val="22"/>
        </w:rPr>
        <w:t>.6</w:t>
      </w:r>
      <w:r w:rsidR="00DB2F46">
        <w:rPr>
          <w:rFonts w:cs="Arial"/>
          <w:szCs w:val="22"/>
        </w:rPr>
        <w:tab/>
      </w:r>
      <w:proofErr w:type="gramStart"/>
      <w:r w:rsidR="00DB2F46">
        <w:rPr>
          <w:rFonts w:cs="Arial"/>
          <w:szCs w:val="22"/>
        </w:rPr>
        <w:t>Report</w:t>
      </w:r>
      <w:proofErr w:type="gramEnd"/>
      <w:r w:rsidR="00DB2F46">
        <w:rPr>
          <w:rFonts w:cs="Arial"/>
          <w:szCs w:val="22"/>
        </w:rPr>
        <w:t xml:space="preserve"> to Cabinet on 28</w:t>
      </w:r>
      <w:r w:rsidR="00DB2F46" w:rsidRPr="0097245A">
        <w:rPr>
          <w:rFonts w:cs="Arial"/>
          <w:szCs w:val="22"/>
          <w:vertAlign w:val="superscript"/>
        </w:rPr>
        <w:t>th</w:t>
      </w:r>
      <w:r w:rsidR="00DB2F46">
        <w:rPr>
          <w:rFonts w:cs="Arial"/>
          <w:szCs w:val="22"/>
        </w:rPr>
        <w:t xml:space="preserve"> September 2010:  Hitchin Town Hall/ Museum Proposals</w:t>
      </w:r>
      <w:r w:rsidR="0090356B">
        <w:rPr>
          <w:rFonts w:cs="Arial"/>
          <w:szCs w:val="22"/>
        </w:rPr>
        <w:t>.</w:t>
      </w:r>
      <w:r w:rsidR="00DB2F46">
        <w:rPr>
          <w:rFonts w:cs="Arial"/>
          <w:szCs w:val="22"/>
        </w:rPr>
        <w:t xml:space="preserve"> </w:t>
      </w:r>
    </w:p>
    <w:p w:rsidR="00DB2F46" w:rsidRDefault="00DB2F46" w:rsidP="0090356B">
      <w:pPr>
        <w:jc w:val="both"/>
      </w:pPr>
    </w:p>
    <w:p w:rsidR="00DB2F46" w:rsidRDefault="004C79B1" w:rsidP="0090356B">
      <w:pPr>
        <w:jc w:val="both"/>
        <w:rPr>
          <w:rFonts w:cs="Arial"/>
          <w:szCs w:val="22"/>
        </w:rPr>
      </w:pPr>
      <w:r>
        <w:t>16</w:t>
      </w:r>
      <w:r w:rsidR="00DB2F46">
        <w:t>.7</w:t>
      </w:r>
      <w:r w:rsidR="00DB2F46">
        <w:tab/>
      </w:r>
      <w:proofErr w:type="gramStart"/>
      <w:r w:rsidR="00DB2F46">
        <w:t>Report</w:t>
      </w:r>
      <w:proofErr w:type="gramEnd"/>
      <w:r w:rsidR="00DB2F46">
        <w:t xml:space="preserve"> to Council on 10</w:t>
      </w:r>
      <w:r w:rsidR="00DB2F46" w:rsidRPr="00E0654F">
        <w:rPr>
          <w:vertAlign w:val="superscript"/>
        </w:rPr>
        <w:t>th</w:t>
      </w:r>
      <w:r w:rsidR="00DB2F46">
        <w:t xml:space="preserve"> November 2010:  </w:t>
      </w:r>
      <w:r w:rsidR="00DB2F46">
        <w:rPr>
          <w:rFonts w:cs="Arial"/>
          <w:szCs w:val="22"/>
        </w:rPr>
        <w:t>Hitchin Town Hall/ Museum Proposals</w:t>
      </w:r>
      <w:r w:rsidR="0090356B">
        <w:rPr>
          <w:rFonts w:cs="Arial"/>
          <w:szCs w:val="22"/>
        </w:rPr>
        <w:t>.</w:t>
      </w:r>
    </w:p>
    <w:p w:rsidR="00DB2F46" w:rsidRDefault="00DB2F46" w:rsidP="0090356B">
      <w:pPr>
        <w:jc w:val="both"/>
        <w:rPr>
          <w:rFonts w:cs="Arial"/>
          <w:szCs w:val="22"/>
        </w:rPr>
      </w:pPr>
    </w:p>
    <w:p w:rsidR="00DB2F46" w:rsidRDefault="004C79B1" w:rsidP="0090356B">
      <w:pPr>
        <w:ind w:left="720" w:hanging="720"/>
        <w:jc w:val="both"/>
        <w:rPr>
          <w:rFonts w:cs="Arial"/>
          <w:szCs w:val="22"/>
        </w:rPr>
      </w:pPr>
      <w:r>
        <w:rPr>
          <w:rFonts w:cs="Arial"/>
          <w:szCs w:val="22"/>
        </w:rPr>
        <w:t>16</w:t>
      </w:r>
      <w:r w:rsidR="00DB2F46">
        <w:rPr>
          <w:rFonts w:cs="Arial"/>
          <w:szCs w:val="22"/>
        </w:rPr>
        <w:t>.8</w:t>
      </w:r>
      <w:r w:rsidR="00DB2F46">
        <w:rPr>
          <w:rFonts w:cs="Arial"/>
          <w:szCs w:val="22"/>
        </w:rPr>
        <w:tab/>
        <w:t>Verbal update to Council on 7</w:t>
      </w:r>
      <w:r w:rsidR="00DB2F46" w:rsidRPr="00E0654F">
        <w:rPr>
          <w:rFonts w:cs="Arial"/>
          <w:szCs w:val="22"/>
          <w:vertAlign w:val="superscript"/>
        </w:rPr>
        <w:t>th</w:t>
      </w:r>
      <w:r w:rsidR="00DB2F46">
        <w:rPr>
          <w:rFonts w:cs="Arial"/>
          <w:szCs w:val="22"/>
        </w:rPr>
        <w:t xml:space="preserve"> April 2011:  North Hertfordshire Museum &amp; Community Facility at Hitchin Town Hall</w:t>
      </w:r>
      <w:r w:rsidR="0090356B">
        <w:rPr>
          <w:rFonts w:cs="Arial"/>
          <w:szCs w:val="22"/>
        </w:rPr>
        <w:t>.</w:t>
      </w:r>
      <w:r w:rsidR="00DB2F46">
        <w:rPr>
          <w:rFonts w:cs="Arial"/>
          <w:szCs w:val="22"/>
        </w:rPr>
        <w:t xml:space="preserve"> </w:t>
      </w:r>
    </w:p>
    <w:p w:rsidR="00DB2F46" w:rsidRDefault="00DB2F46" w:rsidP="0090356B">
      <w:pPr>
        <w:ind w:left="720" w:hanging="720"/>
        <w:jc w:val="both"/>
        <w:rPr>
          <w:rFonts w:cs="Arial"/>
          <w:szCs w:val="22"/>
        </w:rPr>
      </w:pPr>
    </w:p>
    <w:p w:rsidR="00DB2F46" w:rsidRDefault="004C79B1" w:rsidP="0090356B">
      <w:pPr>
        <w:ind w:left="720" w:hanging="720"/>
        <w:jc w:val="both"/>
        <w:rPr>
          <w:b/>
        </w:rPr>
      </w:pPr>
      <w:r>
        <w:rPr>
          <w:rFonts w:cs="Arial"/>
          <w:szCs w:val="22"/>
        </w:rPr>
        <w:t>16</w:t>
      </w:r>
      <w:r w:rsidR="00DB2F46">
        <w:rPr>
          <w:rFonts w:cs="Arial"/>
          <w:szCs w:val="22"/>
        </w:rPr>
        <w:t>.9</w:t>
      </w:r>
      <w:r w:rsidR="00DB2F46">
        <w:rPr>
          <w:rFonts w:cs="Arial"/>
          <w:szCs w:val="22"/>
        </w:rPr>
        <w:tab/>
        <w:t>Report to Cabinet on 26</w:t>
      </w:r>
      <w:r w:rsidR="00DB2F46" w:rsidRPr="00111D23">
        <w:rPr>
          <w:rFonts w:cs="Arial"/>
          <w:szCs w:val="22"/>
          <w:vertAlign w:val="superscript"/>
        </w:rPr>
        <w:t>th</w:t>
      </w:r>
      <w:r w:rsidR="00DB2F46">
        <w:rPr>
          <w:rFonts w:cs="Arial"/>
          <w:szCs w:val="22"/>
        </w:rPr>
        <w:t xml:space="preserve"> July 2011:  </w:t>
      </w:r>
      <w:r w:rsidR="00DB2F46" w:rsidRPr="00111D23">
        <w:t>North Hertfordshire Museum &amp; Community Facility:  Project Update</w:t>
      </w:r>
      <w:r w:rsidR="0090356B">
        <w:t>.</w:t>
      </w:r>
      <w:r w:rsidR="00DB2F46">
        <w:rPr>
          <w:b/>
        </w:rPr>
        <w:t xml:space="preserve"> </w:t>
      </w:r>
    </w:p>
    <w:p w:rsidR="00DB2F46" w:rsidRDefault="00DB2F46" w:rsidP="0090356B">
      <w:pPr>
        <w:ind w:left="720" w:hanging="720"/>
        <w:jc w:val="both"/>
        <w:rPr>
          <w:b/>
        </w:rPr>
      </w:pPr>
    </w:p>
    <w:p w:rsidR="00DB2F46" w:rsidRPr="0046158F" w:rsidRDefault="004C79B1" w:rsidP="0090356B">
      <w:pPr>
        <w:ind w:left="720" w:hanging="720"/>
        <w:jc w:val="both"/>
      </w:pPr>
      <w:r>
        <w:t>16</w:t>
      </w:r>
      <w:r w:rsidR="00DB2F46">
        <w:t>.10</w:t>
      </w:r>
      <w:r w:rsidR="00DB2F46">
        <w:tab/>
      </w:r>
      <w:proofErr w:type="gramStart"/>
      <w:r w:rsidR="00DB2F46">
        <w:t>Report</w:t>
      </w:r>
      <w:proofErr w:type="gramEnd"/>
      <w:r w:rsidR="00DB2F46">
        <w:t xml:space="preserve"> to Council on 10</w:t>
      </w:r>
      <w:r w:rsidR="00DB2F46" w:rsidRPr="0046158F">
        <w:rPr>
          <w:vertAlign w:val="superscript"/>
        </w:rPr>
        <w:t>th</w:t>
      </w:r>
      <w:r w:rsidR="00DB2F46">
        <w:t xml:space="preserve"> May 2012:  </w:t>
      </w:r>
      <w:r w:rsidR="00DB2F46" w:rsidRPr="00111D23">
        <w:t>North Hertfordshire Museum &amp; Community Facilit</w:t>
      </w:r>
      <w:r w:rsidR="00DB2F46">
        <w:t>y</w:t>
      </w:r>
      <w:r w:rsidR="0090356B">
        <w:t>.</w:t>
      </w:r>
    </w:p>
    <w:p w:rsidR="00DB2F46" w:rsidRDefault="00DB2F46" w:rsidP="0090356B">
      <w:pPr>
        <w:jc w:val="both"/>
      </w:pPr>
    </w:p>
    <w:p w:rsidR="00DB2F46" w:rsidRDefault="004C79B1" w:rsidP="0090356B">
      <w:pPr>
        <w:jc w:val="both"/>
      </w:pPr>
      <w:r>
        <w:t>16</w:t>
      </w:r>
      <w:r w:rsidR="00DB2F46">
        <w:t>.11</w:t>
      </w:r>
      <w:r w:rsidR="00DB2F46">
        <w:tab/>
        <w:t>Report to Council:  15</w:t>
      </w:r>
      <w:r w:rsidR="00DB2F46" w:rsidRPr="00F73077">
        <w:rPr>
          <w:vertAlign w:val="superscript"/>
        </w:rPr>
        <w:t>th</w:t>
      </w:r>
      <w:r w:rsidR="00DB2F46">
        <w:rPr>
          <w:vertAlign w:val="superscript"/>
        </w:rPr>
        <w:t xml:space="preserve"> </w:t>
      </w:r>
      <w:r w:rsidR="00DB2F46">
        <w:t xml:space="preserve">October </w:t>
      </w:r>
      <w:proofErr w:type="gramStart"/>
      <w:r w:rsidR="00DB2F46">
        <w:t xml:space="preserve">2012  </w:t>
      </w:r>
      <w:r w:rsidR="00DB2F46" w:rsidRPr="00111D23">
        <w:t>North</w:t>
      </w:r>
      <w:proofErr w:type="gramEnd"/>
      <w:r w:rsidR="00DB2F46" w:rsidRPr="00111D23">
        <w:t xml:space="preserve"> Hertfordshire Museum &amp; Community </w:t>
      </w:r>
    </w:p>
    <w:p w:rsidR="00DB2F46" w:rsidRDefault="00DB2F46" w:rsidP="0090356B">
      <w:pPr>
        <w:ind w:left="720"/>
        <w:jc w:val="both"/>
      </w:pPr>
      <w:proofErr w:type="gramStart"/>
      <w:r w:rsidRPr="00111D23">
        <w:t>Facilit</w:t>
      </w:r>
      <w:r>
        <w:t>y</w:t>
      </w:r>
      <w:r w:rsidR="0090356B">
        <w:t>.</w:t>
      </w:r>
      <w:proofErr w:type="gramEnd"/>
    </w:p>
    <w:p w:rsidR="00DB2F46" w:rsidRDefault="00DB2F46" w:rsidP="0090356B">
      <w:pPr>
        <w:jc w:val="both"/>
      </w:pPr>
    </w:p>
    <w:p w:rsidR="00DB2F46" w:rsidRDefault="004C79B1" w:rsidP="0090356B">
      <w:pPr>
        <w:jc w:val="both"/>
      </w:pPr>
      <w:r>
        <w:t>16</w:t>
      </w:r>
      <w:r w:rsidR="00DB2F46">
        <w:t>.12</w:t>
      </w:r>
      <w:r w:rsidR="00DB2F46">
        <w:tab/>
      </w:r>
      <w:proofErr w:type="gramStart"/>
      <w:r w:rsidR="00DB2F46">
        <w:t>Report</w:t>
      </w:r>
      <w:proofErr w:type="gramEnd"/>
      <w:r w:rsidR="00DB2F46">
        <w:t xml:space="preserve"> to Council 23</w:t>
      </w:r>
      <w:r w:rsidR="00DB2F46" w:rsidRPr="002C7EB7">
        <w:rPr>
          <w:vertAlign w:val="superscript"/>
        </w:rPr>
        <w:t>rd</w:t>
      </w:r>
      <w:r w:rsidR="00DB2F46">
        <w:t xml:space="preserve"> April 2013 </w:t>
      </w:r>
      <w:r w:rsidR="00DB2F46" w:rsidRPr="00111D23">
        <w:t xml:space="preserve">North Hertfordshire Museum &amp; Community </w:t>
      </w:r>
    </w:p>
    <w:p w:rsidR="00DB2F46" w:rsidRDefault="00DB2F46" w:rsidP="0090356B">
      <w:pPr>
        <w:ind w:left="720"/>
        <w:jc w:val="both"/>
      </w:pPr>
      <w:r w:rsidRPr="00111D23">
        <w:t>Facilit</w:t>
      </w:r>
      <w:r>
        <w:t xml:space="preserve">y:  Proposal for the Inclusion </w:t>
      </w:r>
      <w:r w:rsidR="0090356B">
        <w:t>of 15 Brand Street.</w:t>
      </w:r>
    </w:p>
    <w:p w:rsidR="00DB2F46" w:rsidRDefault="00DB2F46" w:rsidP="0090356B">
      <w:pPr>
        <w:jc w:val="both"/>
      </w:pPr>
    </w:p>
    <w:p w:rsidR="00DB2F46" w:rsidRDefault="004C79B1" w:rsidP="0090356B">
      <w:pPr>
        <w:jc w:val="both"/>
      </w:pPr>
      <w:r>
        <w:t>16</w:t>
      </w:r>
      <w:r w:rsidR="00DB2F46">
        <w:t>.13</w:t>
      </w:r>
      <w:r w:rsidR="00DB2F46">
        <w:tab/>
      </w:r>
      <w:proofErr w:type="gramStart"/>
      <w:r w:rsidR="00DB2F46">
        <w:t>Report</w:t>
      </w:r>
      <w:proofErr w:type="gramEnd"/>
      <w:r w:rsidR="00DB2F46">
        <w:t xml:space="preserve"> to Council 8</w:t>
      </w:r>
      <w:r w:rsidR="00DB2F46" w:rsidRPr="0016202F">
        <w:rPr>
          <w:vertAlign w:val="superscript"/>
        </w:rPr>
        <w:t>th</w:t>
      </w:r>
      <w:r w:rsidR="00DB2F46">
        <w:t xml:space="preserve"> August 21013 </w:t>
      </w:r>
      <w:r w:rsidR="00DB2F46" w:rsidRPr="00111D23">
        <w:t xml:space="preserve">North Hertfordshire Museum &amp; Community </w:t>
      </w:r>
    </w:p>
    <w:p w:rsidR="00DB2F46" w:rsidRDefault="00DB2F46" w:rsidP="0090356B">
      <w:pPr>
        <w:ind w:left="720"/>
        <w:jc w:val="both"/>
      </w:pPr>
      <w:r w:rsidRPr="00111D23">
        <w:t>Facilit</w:t>
      </w:r>
      <w:r>
        <w:t>y:  Proposal for the Inclusion of 15 Brand Street</w:t>
      </w:r>
      <w:r w:rsidR="0090356B">
        <w:t>.</w:t>
      </w:r>
      <w:r>
        <w:t xml:space="preserve"> </w:t>
      </w:r>
    </w:p>
    <w:p w:rsidR="00DB2F46" w:rsidRDefault="00DB2F46" w:rsidP="0090356B">
      <w:pPr>
        <w:jc w:val="both"/>
      </w:pPr>
    </w:p>
    <w:p w:rsidR="00DB2F46" w:rsidRDefault="004C79B1" w:rsidP="0090356B">
      <w:pPr>
        <w:ind w:left="720" w:hanging="720"/>
        <w:jc w:val="both"/>
      </w:pPr>
      <w:proofErr w:type="gramStart"/>
      <w:r>
        <w:t>16</w:t>
      </w:r>
      <w:r w:rsidR="00DB2F46">
        <w:t xml:space="preserve">.14 </w:t>
      </w:r>
      <w:r w:rsidR="00DB2F46">
        <w:tab/>
        <w:t>Report</w:t>
      </w:r>
      <w:proofErr w:type="gramEnd"/>
      <w:r w:rsidR="00DB2F46">
        <w:t xml:space="preserve"> to Overview &amp; Scrutiny Committee 18</w:t>
      </w:r>
      <w:r w:rsidR="00DB2F46" w:rsidRPr="000C132F">
        <w:rPr>
          <w:vertAlign w:val="superscript"/>
        </w:rPr>
        <w:t>th</w:t>
      </w:r>
      <w:r w:rsidR="00DB2F46">
        <w:t xml:space="preserve"> December 2014 Development Agreement:   </w:t>
      </w:r>
      <w:r w:rsidR="00DB2F46" w:rsidRPr="00111D23">
        <w:t xml:space="preserve">North Hertfordshire </w:t>
      </w:r>
      <w:r w:rsidR="00DB2F46">
        <w:t xml:space="preserve">District </w:t>
      </w:r>
      <w:r w:rsidR="0090356B">
        <w:t>Council &amp; Hitchin Town Hall Ltd.</w:t>
      </w:r>
    </w:p>
    <w:p w:rsidR="00DB2F46" w:rsidRDefault="00DB2F46" w:rsidP="0090356B">
      <w:pPr>
        <w:ind w:left="720" w:hanging="720"/>
        <w:jc w:val="both"/>
      </w:pPr>
    </w:p>
    <w:p w:rsidR="00DB2F46" w:rsidRDefault="004C79B1" w:rsidP="0090356B">
      <w:pPr>
        <w:ind w:left="720" w:hanging="720"/>
        <w:jc w:val="both"/>
      </w:pPr>
      <w:r>
        <w:t>16</w:t>
      </w:r>
      <w:r w:rsidR="00DB2F46">
        <w:t>.15</w:t>
      </w:r>
      <w:r w:rsidR="00DB2F46">
        <w:tab/>
        <w:t>Report to Cabinet 27</w:t>
      </w:r>
      <w:r w:rsidR="00DB2F46" w:rsidRPr="0027084D">
        <w:rPr>
          <w:vertAlign w:val="superscript"/>
        </w:rPr>
        <w:t>th</w:t>
      </w:r>
      <w:r w:rsidR="00DB2F46">
        <w:t xml:space="preserve"> January 2015:  </w:t>
      </w:r>
      <w:r w:rsidR="00DB2F46" w:rsidRPr="00111D23">
        <w:t xml:space="preserve">North Hertfordshire </w:t>
      </w:r>
      <w:r w:rsidR="00DB2F46">
        <w:t>District Council &amp; Hitchin Town Hall Ltd: Project Update</w:t>
      </w:r>
      <w:r w:rsidR="0090356B">
        <w:t>.</w:t>
      </w:r>
      <w:r w:rsidR="00DB2F46">
        <w:t xml:space="preserve"> </w:t>
      </w:r>
    </w:p>
    <w:p w:rsidR="00DB2F46" w:rsidRDefault="00DB2F46" w:rsidP="0090356B">
      <w:pPr>
        <w:ind w:left="720" w:hanging="720"/>
        <w:jc w:val="both"/>
      </w:pPr>
    </w:p>
    <w:p w:rsidR="00DB2F46" w:rsidRDefault="004C79B1" w:rsidP="0090356B">
      <w:pPr>
        <w:ind w:left="720" w:hanging="720"/>
        <w:jc w:val="both"/>
      </w:pPr>
      <w:r>
        <w:t>16</w:t>
      </w:r>
      <w:r w:rsidR="00DB2F46">
        <w:t>.16</w:t>
      </w:r>
      <w:r w:rsidR="00DB2F46">
        <w:tab/>
        <w:t>Report to Council 12</w:t>
      </w:r>
      <w:r w:rsidR="00DB2F46" w:rsidRPr="003D262A">
        <w:rPr>
          <w:vertAlign w:val="superscript"/>
        </w:rPr>
        <w:t>th</w:t>
      </w:r>
      <w:r w:rsidR="00DB2F46">
        <w:t xml:space="preserve"> February 2015:  </w:t>
      </w:r>
      <w:r w:rsidR="00DB2F46" w:rsidRPr="00111D23">
        <w:t xml:space="preserve">North Hertfordshire </w:t>
      </w:r>
      <w:r w:rsidR="00DB2F46">
        <w:t>District Council &amp; Hitchin Town Hall Ltd: Project Update</w:t>
      </w:r>
      <w:r w:rsidR="0090356B">
        <w:t>.</w:t>
      </w:r>
    </w:p>
    <w:p w:rsidR="00DB2F46" w:rsidRDefault="00DB2F46" w:rsidP="0090356B">
      <w:pPr>
        <w:ind w:left="720" w:hanging="720"/>
        <w:jc w:val="both"/>
      </w:pPr>
      <w:r>
        <w:t xml:space="preserve"> </w:t>
      </w:r>
    </w:p>
    <w:p w:rsidR="00DB2F46" w:rsidRDefault="004C79B1" w:rsidP="0090356B">
      <w:pPr>
        <w:ind w:left="720" w:hanging="720"/>
        <w:jc w:val="both"/>
      </w:pPr>
      <w:r>
        <w:t>16</w:t>
      </w:r>
      <w:r w:rsidR="00DB2F46">
        <w:t xml:space="preserve">.17 </w:t>
      </w:r>
      <w:r w:rsidR="00DB2F46">
        <w:tab/>
        <w:t>Report to Council 10</w:t>
      </w:r>
      <w:r w:rsidR="00DB2F46" w:rsidRPr="002360F9">
        <w:rPr>
          <w:vertAlign w:val="superscript"/>
        </w:rPr>
        <w:t>th</w:t>
      </w:r>
      <w:r w:rsidR="00DB2F46">
        <w:t xml:space="preserve"> March 2015:  </w:t>
      </w:r>
      <w:r w:rsidR="00DB2F46" w:rsidRPr="00111D23">
        <w:t xml:space="preserve">North Hertfordshire </w:t>
      </w:r>
      <w:r w:rsidR="00DB2F46">
        <w:t>District Council &amp; Hitchin Town Hall Ltd: Project Update</w:t>
      </w:r>
      <w:r w:rsidR="0090356B">
        <w:t>.</w:t>
      </w:r>
    </w:p>
    <w:p w:rsidR="00DB2F46" w:rsidRDefault="00DB2F46" w:rsidP="0090356B">
      <w:pPr>
        <w:jc w:val="both"/>
      </w:pPr>
    </w:p>
    <w:p w:rsidR="00DB2F46" w:rsidRDefault="00DB2F46" w:rsidP="0090356B">
      <w:pPr>
        <w:jc w:val="both"/>
      </w:pPr>
    </w:p>
    <w:sectPr w:rsidR="00DB2F46" w:rsidSect="00365856">
      <w:headerReference w:type="default" r:id="rId17"/>
      <w:footerReference w:type="even" r:id="rId18"/>
      <w:footerReference w:type="default" r:id="rId19"/>
      <w:type w:val="oddPage"/>
      <w:pgSz w:w="12240" w:h="15840" w:code="1"/>
      <w:pgMar w:top="851" w:right="1440" w:bottom="426"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A1" w:rsidRDefault="001963A1" w:rsidP="00844CED">
      <w:r>
        <w:separator/>
      </w:r>
    </w:p>
  </w:endnote>
  <w:endnote w:type="continuationSeparator" w:id="0">
    <w:p w:rsidR="001963A1" w:rsidRDefault="001963A1" w:rsidP="00844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F0" w:rsidRDefault="00BF7B2C">
    <w:pPr>
      <w:pStyle w:val="Footer"/>
      <w:framePr w:wrap="around" w:vAnchor="text" w:hAnchor="margin" w:xAlign="center" w:y="1"/>
      <w:rPr>
        <w:rStyle w:val="PageNumber"/>
      </w:rPr>
    </w:pPr>
    <w:r>
      <w:rPr>
        <w:rStyle w:val="PageNumber"/>
      </w:rPr>
      <w:fldChar w:fldCharType="begin"/>
    </w:r>
    <w:r w:rsidR="00DD70F0">
      <w:rPr>
        <w:rStyle w:val="PageNumber"/>
      </w:rPr>
      <w:instrText xml:space="preserve">PAGE  </w:instrText>
    </w:r>
    <w:r>
      <w:rPr>
        <w:rStyle w:val="PageNumber"/>
      </w:rPr>
      <w:fldChar w:fldCharType="separate"/>
    </w:r>
    <w:r w:rsidR="00DD70F0">
      <w:rPr>
        <w:rStyle w:val="PageNumber"/>
        <w:noProof/>
      </w:rPr>
      <w:t>1</w:t>
    </w:r>
    <w:r>
      <w:rPr>
        <w:rStyle w:val="PageNumber"/>
      </w:rPr>
      <w:fldChar w:fldCharType="end"/>
    </w:r>
  </w:p>
  <w:p w:rsidR="00DD70F0" w:rsidRDefault="00DD7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EB" w:rsidRPr="001D15EB" w:rsidRDefault="001D15EB">
    <w:pPr>
      <w:pStyle w:val="Footer"/>
      <w:rPr>
        <w:rFonts w:ascii="Arial" w:hAnsi="Arial" w:cs="Arial"/>
        <w:b/>
        <w:sz w:val="16"/>
        <w:szCs w:val="16"/>
      </w:rPr>
    </w:pPr>
    <w:r w:rsidRPr="001D15EB">
      <w:rPr>
        <w:rFonts w:ascii="Arial" w:hAnsi="Arial" w:cs="Arial"/>
        <w:b/>
        <w:sz w:val="16"/>
        <w:szCs w:val="16"/>
      </w:rPr>
      <w:t>COUNCIL (16.7.15)</w:t>
    </w:r>
  </w:p>
  <w:p w:rsidR="00DD70F0" w:rsidRPr="001D15EB" w:rsidRDefault="00DD70F0">
    <w:pPr>
      <w:pStyle w:val="Footer"/>
      <w:jc w:val="left"/>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A1" w:rsidRDefault="001963A1" w:rsidP="00844CED">
      <w:r>
        <w:separator/>
      </w:r>
    </w:p>
  </w:footnote>
  <w:footnote w:type="continuationSeparator" w:id="0">
    <w:p w:rsidR="001963A1" w:rsidRDefault="001963A1" w:rsidP="00844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EB" w:rsidRDefault="001D15EB">
    <w:pPr>
      <w:pStyle w:val="Header"/>
    </w:pPr>
  </w:p>
  <w:p w:rsidR="00DD70F0" w:rsidRDefault="00DD7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C05"/>
    <w:multiLevelType w:val="hybridMultilevel"/>
    <w:tmpl w:val="6338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FF5CBE"/>
    <w:multiLevelType w:val="multilevel"/>
    <w:tmpl w:val="74AED426"/>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CEB3ECA"/>
    <w:multiLevelType w:val="hybridMultilevel"/>
    <w:tmpl w:val="EB0E36F6"/>
    <w:lvl w:ilvl="0" w:tplc="6F188E1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CC116B"/>
    <w:multiLevelType w:val="hybridMultilevel"/>
    <w:tmpl w:val="B8B45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2C0848"/>
    <w:multiLevelType w:val="hybridMultilevel"/>
    <w:tmpl w:val="A600D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6F1DED"/>
    <w:multiLevelType w:val="singleLevel"/>
    <w:tmpl w:val="0809000F"/>
    <w:lvl w:ilvl="0">
      <w:start w:val="11"/>
      <w:numFmt w:val="decimal"/>
      <w:lvlText w:val="%1."/>
      <w:lvlJc w:val="left"/>
      <w:pPr>
        <w:tabs>
          <w:tab w:val="num" w:pos="360"/>
        </w:tabs>
        <w:ind w:left="360" w:hanging="360"/>
      </w:pPr>
      <w:rPr>
        <w:rFonts w:hint="default"/>
      </w:rPr>
    </w:lvl>
  </w:abstractNum>
  <w:abstractNum w:abstractNumId="6">
    <w:nsid w:val="205756D9"/>
    <w:multiLevelType w:val="hybridMultilevel"/>
    <w:tmpl w:val="0AB2A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3235EE"/>
    <w:multiLevelType w:val="hybridMultilevel"/>
    <w:tmpl w:val="C84EF752"/>
    <w:lvl w:ilvl="0" w:tplc="DA94DC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FB9067D"/>
    <w:multiLevelType w:val="hybridMultilevel"/>
    <w:tmpl w:val="11509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5230D81"/>
    <w:multiLevelType w:val="multilevel"/>
    <w:tmpl w:val="69E4C2EE"/>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4222DD"/>
    <w:multiLevelType w:val="multilevel"/>
    <w:tmpl w:val="19705320"/>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E332E96"/>
    <w:multiLevelType w:val="hybridMultilevel"/>
    <w:tmpl w:val="077A2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12375CF"/>
    <w:multiLevelType w:val="multilevel"/>
    <w:tmpl w:val="5464D328"/>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17C45BD"/>
    <w:multiLevelType w:val="singleLevel"/>
    <w:tmpl w:val="4C9E9882"/>
    <w:lvl w:ilvl="0">
      <w:start w:val="6"/>
      <w:numFmt w:val="decimal"/>
      <w:lvlText w:val="%1."/>
      <w:lvlJc w:val="left"/>
      <w:pPr>
        <w:tabs>
          <w:tab w:val="num" w:pos="720"/>
        </w:tabs>
        <w:ind w:left="720" w:hanging="720"/>
      </w:pPr>
      <w:rPr>
        <w:rFonts w:hint="default"/>
      </w:rPr>
    </w:lvl>
  </w:abstractNum>
  <w:abstractNum w:abstractNumId="14">
    <w:nsid w:val="520A0C6F"/>
    <w:multiLevelType w:val="multilevel"/>
    <w:tmpl w:val="4B2A139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DD3CF8"/>
    <w:multiLevelType w:val="hybridMultilevel"/>
    <w:tmpl w:val="FF9A5A7E"/>
    <w:lvl w:ilvl="0" w:tplc="5828538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55C0777A"/>
    <w:multiLevelType w:val="multilevel"/>
    <w:tmpl w:val="9DDED2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6122FC"/>
    <w:multiLevelType w:val="multilevel"/>
    <w:tmpl w:val="B8144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8F63A58"/>
    <w:multiLevelType w:val="hybridMultilevel"/>
    <w:tmpl w:val="48F2D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7D0341"/>
    <w:multiLevelType w:val="hybridMultilevel"/>
    <w:tmpl w:val="2E4EE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
  </w:num>
  <w:num w:numId="5">
    <w:abstractNumId w:val="3"/>
  </w:num>
  <w:num w:numId="6">
    <w:abstractNumId w:val="7"/>
  </w:num>
  <w:num w:numId="7">
    <w:abstractNumId w:val="15"/>
  </w:num>
  <w:num w:numId="8">
    <w:abstractNumId w:val="10"/>
  </w:num>
  <w:num w:numId="9">
    <w:abstractNumId w:val="0"/>
  </w:num>
  <w:num w:numId="10">
    <w:abstractNumId w:val="19"/>
  </w:num>
  <w:num w:numId="11">
    <w:abstractNumId w:val="18"/>
  </w:num>
  <w:num w:numId="12">
    <w:abstractNumId w:val="6"/>
  </w:num>
  <w:num w:numId="13">
    <w:abstractNumId w:val="11"/>
  </w:num>
  <w:num w:numId="14">
    <w:abstractNumId w:val="2"/>
  </w:num>
  <w:num w:numId="15">
    <w:abstractNumId w:val="4"/>
  </w:num>
  <w:num w:numId="16">
    <w:abstractNumId w:val="8"/>
  </w:num>
  <w:num w:numId="17">
    <w:abstractNumId w:val="17"/>
  </w:num>
  <w:num w:numId="18">
    <w:abstractNumId w:val="8"/>
  </w:num>
  <w:num w:numId="19">
    <w:abstractNumId w:val="16"/>
  </w:num>
  <w:num w:numId="20">
    <w:abstractNumId w:val="9"/>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7601D1"/>
    <w:rsid w:val="00005D38"/>
    <w:rsid w:val="00022E93"/>
    <w:rsid w:val="000361B9"/>
    <w:rsid w:val="00050618"/>
    <w:rsid w:val="0005213A"/>
    <w:rsid w:val="0008560D"/>
    <w:rsid w:val="000B06FC"/>
    <w:rsid w:val="00107AD3"/>
    <w:rsid w:val="00112610"/>
    <w:rsid w:val="00121455"/>
    <w:rsid w:val="001310AC"/>
    <w:rsid w:val="00152595"/>
    <w:rsid w:val="001713CC"/>
    <w:rsid w:val="001963A1"/>
    <w:rsid w:val="00197E8F"/>
    <w:rsid w:val="001C050F"/>
    <w:rsid w:val="001D15EB"/>
    <w:rsid w:val="001E2CE3"/>
    <w:rsid w:val="001E3C1A"/>
    <w:rsid w:val="0020437D"/>
    <w:rsid w:val="00206EC4"/>
    <w:rsid w:val="002166B7"/>
    <w:rsid w:val="00225553"/>
    <w:rsid w:val="00226B1C"/>
    <w:rsid w:val="00244F14"/>
    <w:rsid w:val="00262330"/>
    <w:rsid w:val="00294EEC"/>
    <w:rsid w:val="002963B4"/>
    <w:rsid w:val="002B120B"/>
    <w:rsid w:val="002B5620"/>
    <w:rsid w:val="002C3462"/>
    <w:rsid w:val="002E00A9"/>
    <w:rsid w:val="002F4732"/>
    <w:rsid w:val="00311854"/>
    <w:rsid w:val="0031781F"/>
    <w:rsid w:val="00324454"/>
    <w:rsid w:val="00327AEC"/>
    <w:rsid w:val="00332760"/>
    <w:rsid w:val="0034508C"/>
    <w:rsid w:val="003651FB"/>
    <w:rsid w:val="00365856"/>
    <w:rsid w:val="003878BC"/>
    <w:rsid w:val="003902F3"/>
    <w:rsid w:val="003A4645"/>
    <w:rsid w:val="003E34D1"/>
    <w:rsid w:val="004075C5"/>
    <w:rsid w:val="00450C3B"/>
    <w:rsid w:val="004B04D7"/>
    <w:rsid w:val="004B4D9B"/>
    <w:rsid w:val="004C5129"/>
    <w:rsid w:val="004C79B1"/>
    <w:rsid w:val="0050431D"/>
    <w:rsid w:val="00507E6C"/>
    <w:rsid w:val="00523306"/>
    <w:rsid w:val="005877AB"/>
    <w:rsid w:val="005A35E1"/>
    <w:rsid w:val="005E34A1"/>
    <w:rsid w:val="005F2974"/>
    <w:rsid w:val="00603B58"/>
    <w:rsid w:val="00625D7C"/>
    <w:rsid w:val="00636DD4"/>
    <w:rsid w:val="0067093B"/>
    <w:rsid w:val="00670D14"/>
    <w:rsid w:val="006B5A0D"/>
    <w:rsid w:val="006C7BB0"/>
    <w:rsid w:val="006D1536"/>
    <w:rsid w:val="006E32D5"/>
    <w:rsid w:val="006E6B97"/>
    <w:rsid w:val="006F7C3D"/>
    <w:rsid w:val="007012D5"/>
    <w:rsid w:val="00703F50"/>
    <w:rsid w:val="007041AC"/>
    <w:rsid w:val="00707244"/>
    <w:rsid w:val="00750751"/>
    <w:rsid w:val="007601D1"/>
    <w:rsid w:val="00781F62"/>
    <w:rsid w:val="007A47D0"/>
    <w:rsid w:val="007C053D"/>
    <w:rsid w:val="007C50DE"/>
    <w:rsid w:val="007E7EC2"/>
    <w:rsid w:val="007F4B41"/>
    <w:rsid w:val="00801B3B"/>
    <w:rsid w:val="008106B2"/>
    <w:rsid w:val="0081702A"/>
    <w:rsid w:val="00827545"/>
    <w:rsid w:val="00837A13"/>
    <w:rsid w:val="00844CED"/>
    <w:rsid w:val="00856306"/>
    <w:rsid w:val="0086303F"/>
    <w:rsid w:val="008A40FB"/>
    <w:rsid w:val="008A6E05"/>
    <w:rsid w:val="008C5FB2"/>
    <w:rsid w:val="008D47AE"/>
    <w:rsid w:val="00901085"/>
    <w:rsid w:val="0090356B"/>
    <w:rsid w:val="00907788"/>
    <w:rsid w:val="00912A53"/>
    <w:rsid w:val="009406D1"/>
    <w:rsid w:val="00941D62"/>
    <w:rsid w:val="0094597E"/>
    <w:rsid w:val="0095766B"/>
    <w:rsid w:val="00961ABF"/>
    <w:rsid w:val="00966781"/>
    <w:rsid w:val="009913BE"/>
    <w:rsid w:val="009B37E2"/>
    <w:rsid w:val="009D6CDE"/>
    <w:rsid w:val="00A0343F"/>
    <w:rsid w:val="00A34975"/>
    <w:rsid w:val="00A85C30"/>
    <w:rsid w:val="00A9334E"/>
    <w:rsid w:val="00AC4D0C"/>
    <w:rsid w:val="00AE3923"/>
    <w:rsid w:val="00AE50BC"/>
    <w:rsid w:val="00AF0EEB"/>
    <w:rsid w:val="00B00CA7"/>
    <w:rsid w:val="00B4315D"/>
    <w:rsid w:val="00B468CF"/>
    <w:rsid w:val="00B50973"/>
    <w:rsid w:val="00BA590C"/>
    <w:rsid w:val="00BB5997"/>
    <w:rsid w:val="00BC68C0"/>
    <w:rsid w:val="00BF7B2C"/>
    <w:rsid w:val="00C00BF5"/>
    <w:rsid w:val="00C01009"/>
    <w:rsid w:val="00C20C99"/>
    <w:rsid w:val="00C678FA"/>
    <w:rsid w:val="00C679CA"/>
    <w:rsid w:val="00C757BF"/>
    <w:rsid w:val="00C825AC"/>
    <w:rsid w:val="00CA2539"/>
    <w:rsid w:val="00CA4D2A"/>
    <w:rsid w:val="00CF0567"/>
    <w:rsid w:val="00D25C56"/>
    <w:rsid w:val="00D7171B"/>
    <w:rsid w:val="00D77854"/>
    <w:rsid w:val="00D83667"/>
    <w:rsid w:val="00D86B1A"/>
    <w:rsid w:val="00D87F03"/>
    <w:rsid w:val="00D91C75"/>
    <w:rsid w:val="00DA16B4"/>
    <w:rsid w:val="00DB2F46"/>
    <w:rsid w:val="00DB5602"/>
    <w:rsid w:val="00DD70F0"/>
    <w:rsid w:val="00DF6180"/>
    <w:rsid w:val="00DF7957"/>
    <w:rsid w:val="00E001E7"/>
    <w:rsid w:val="00E123E3"/>
    <w:rsid w:val="00E813BE"/>
    <w:rsid w:val="00E91739"/>
    <w:rsid w:val="00E97CEA"/>
    <w:rsid w:val="00EA5C35"/>
    <w:rsid w:val="00EB31F9"/>
    <w:rsid w:val="00EF228A"/>
    <w:rsid w:val="00F16758"/>
    <w:rsid w:val="00F26938"/>
    <w:rsid w:val="00F40711"/>
    <w:rsid w:val="00F6420F"/>
    <w:rsid w:val="00FC413A"/>
    <w:rsid w:val="00FE2A4C"/>
    <w:rsid w:val="00FE2C9B"/>
    <w:rsid w:val="00FE3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B2C"/>
    <w:rPr>
      <w:rFonts w:ascii="Arial" w:hAnsi="Arial"/>
      <w:sz w:val="22"/>
    </w:rPr>
  </w:style>
  <w:style w:type="paragraph" w:styleId="Heading1">
    <w:name w:val="heading 1"/>
    <w:basedOn w:val="Normal"/>
    <w:next w:val="Normal"/>
    <w:qFormat/>
    <w:rsid w:val="00BF7B2C"/>
    <w:pPr>
      <w:keepNext/>
      <w:tabs>
        <w:tab w:val="left" w:pos="720"/>
        <w:tab w:val="left" w:pos="1440"/>
        <w:tab w:val="left" w:pos="2160"/>
        <w:tab w:val="left" w:pos="5760"/>
        <w:tab w:val="left" w:pos="6480"/>
      </w:tabs>
      <w:ind w:right="-25"/>
      <w:jc w:val="both"/>
      <w:outlineLvl w:val="0"/>
    </w:pPr>
    <w:rPr>
      <w:rFonts w:ascii="Helvetica" w:hAnsi="Helvetica"/>
      <w:b/>
      <w:sz w:val="20"/>
    </w:rPr>
  </w:style>
  <w:style w:type="paragraph" w:styleId="Heading2">
    <w:name w:val="heading 2"/>
    <w:basedOn w:val="Normal"/>
    <w:next w:val="Normal"/>
    <w:qFormat/>
    <w:rsid w:val="00BF7B2C"/>
    <w:pPr>
      <w:keepNext/>
      <w:tabs>
        <w:tab w:val="left" w:pos="720"/>
        <w:tab w:val="left" w:pos="1440"/>
        <w:tab w:val="left" w:pos="2160"/>
        <w:tab w:val="left" w:pos="5760"/>
        <w:tab w:val="left" w:pos="6480"/>
      </w:tabs>
      <w:spacing w:line="240" w:lineRule="atLeast"/>
      <w:ind w:right="-25"/>
      <w:jc w:val="right"/>
      <w:outlineLvl w:val="1"/>
    </w:pPr>
    <w:rPr>
      <w:rFonts w:ascii="Helvetica" w:hAnsi="Helvetica"/>
      <w:b/>
      <w:sz w:val="24"/>
    </w:rPr>
  </w:style>
  <w:style w:type="paragraph" w:styleId="Heading3">
    <w:name w:val="heading 3"/>
    <w:basedOn w:val="Normal"/>
    <w:next w:val="Normal"/>
    <w:qFormat/>
    <w:rsid w:val="00BF7B2C"/>
    <w:pPr>
      <w:keepNext/>
      <w:pBdr>
        <w:top w:val="double" w:sz="4" w:space="1" w:color="auto"/>
        <w:left w:val="double" w:sz="4" w:space="4" w:color="auto"/>
        <w:bottom w:val="double" w:sz="4" w:space="1" w:color="auto"/>
        <w:right w:val="double" w:sz="4" w:space="4" w:color="auto"/>
      </w:pBdr>
      <w:outlineLvl w:val="2"/>
    </w:pPr>
    <w:rPr>
      <w:b/>
    </w:rPr>
  </w:style>
  <w:style w:type="paragraph" w:styleId="Heading4">
    <w:name w:val="heading 4"/>
    <w:basedOn w:val="Normal"/>
    <w:next w:val="Normal"/>
    <w:qFormat/>
    <w:rsid w:val="00BF7B2C"/>
    <w:pPr>
      <w:keepNext/>
      <w:ind w:left="720"/>
      <w:outlineLvl w:val="3"/>
    </w:pPr>
    <w:rPr>
      <w:i/>
    </w:rPr>
  </w:style>
  <w:style w:type="paragraph" w:styleId="Heading5">
    <w:name w:val="heading 5"/>
    <w:basedOn w:val="Normal"/>
    <w:next w:val="Normal"/>
    <w:qFormat/>
    <w:rsid w:val="00BF7B2C"/>
    <w:pPr>
      <w:keepNext/>
      <w:tabs>
        <w:tab w:val="left" w:pos="720"/>
        <w:tab w:val="left" w:pos="1440"/>
        <w:tab w:val="left" w:pos="5760"/>
        <w:tab w:val="left" w:pos="6480"/>
      </w:tabs>
      <w:jc w:val="center"/>
      <w:outlineLvl w:val="4"/>
    </w:pPr>
    <w:rPr>
      <w:b/>
      <w:sz w:val="28"/>
      <w:u w:val="single"/>
    </w:rPr>
  </w:style>
  <w:style w:type="paragraph" w:styleId="Heading6">
    <w:name w:val="heading 6"/>
    <w:basedOn w:val="Normal"/>
    <w:next w:val="Normal"/>
    <w:qFormat/>
    <w:rsid w:val="00BF7B2C"/>
    <w:pPr>
      <w:keepNext/>
      <w:tabs>
        <w:tab w:val="left" w:pos="720"/>
        <w:tab w:val="left" w:pos="1440"/>
        <w:tab w:val="left" w:pos="5760"/>
        <w:tab w:val="left" w:pos="6480"/>
      </w:tabs>
      <w:jc w:val="both"/>
      <w:outlineLvl w:val="5"/>
    </w:pPr>
    <w:rPr>
      <w:sz w:val="28"/>
    </w:rPr>
  </w:style>
  <w:style w:type="paragraph" w:styleId="Heading7">
    <w:name w:val="heading 7"/>
    <w:basedOn w:val="Normal"/>
    <w:next w:val="Normal"/>
    <w:qFormat/>
    <w:rsid w:val="00BF7B2C"/>
    <w:pPr>
      <w:keepNext/>
      <w:pBdr>
        <w:top w:val="double" w:sz="4" w:space="1" w:color="auto"/>
        <w:left w:val="double" w:sz="4" w:space="4" w:color="auto"/>
        <w:bottom w:val="double" w:sz="4" w:space="1" w:color="auto"/>
        <w:right w:val="double" w:sz="4" w:space="4" w:color="auto"/>
      </w:pBdr>
      <w:jc w:val="center"/>
      <w:outlineLvl w:val="6"/>
    </w:pPr>
    <w:rPr>
      <w:b/>
      <w:sz w:val="28"/>
    </w:rPr>
  </w:style>
  <w:style w:type="paragraph" w:styleId="Heading8">
    <w:name w:val="heading 8"/>
    <w:basedOn w:val="Normal"/>
    <w:next w:val="Normal"/>
    <w:qFormat/>
    <w:rsid w:val="00BF7B2C"/>
    <w:pPr>
      <w:keepNext/>
      <w:tabs>
        <w:tab w:val="left" w:pos="2160"/>
        <w:tab w:val="left" w:pos="6480"/>
      </w:tabs>
      <w:spacing w:line="240" w:lineRule="atLeast"/>
      <w:ind w:left="720" w:right="-25"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7B2C"/>
    <w:pPr>
      <w:tabs>
        <w:tab w:val="center" w:pos="4819"/>
        <w:tab w:val="right" w:pos="9071"/>
      </w:tabs>
      <w:jc w:val="both"/>
    </w:pPr>
    <w:rPr>
      <w:rFonts w:ascii="Helvetica" w:hAnsi="Helvetica"/>
      <w:sz w:val="20"/>
    </w:rPr>
  </w:style>
  <w:style w:type="paragraph" w:styleId="BodyText">
    <w:name w:val="Body Text"/>
    <w:basedOn w:val="Normal"/>
    <w:rsid w:val="00BF7B2C"/>
    <w:pPr>
      <w:tabs>
        <w:tab w:val="left" w:pos="702"/>
        <w:tab w:val="left" w:pos="1440"/>
        <w:tab w:val="left" w:pos="2160"/>
        <w:tab w:val="left" w:pos="5760"/>
        <w:tab w:val="left" w:pos="6480"/>
      </w:tabs>
      <w:spacing w:line="240" w:lineRule="atLeast"/>
      <w:ind w:right="-25"/>
      <w:jc w:val="both"/>
    </w:pPr>
    <w:rPr>
      <w:rFonts w:ascii="Helvetica" w:hAnsi="Helvetica"/>
      <w:sz w:val="20"/>
    </w:rPr>
  </w:style>
  <w:style w:type="paragraph" w:styleId="Footer">
    <w:name w:val="footer"/>
    <w:basedOn w:val="Normal"/>
    <w:link w:val="FooterChar"/>
    <w:uiPriority w:val="99"/>
    <w:rsid w:val="00BF7B2C"/>
    <w:pPr>
      <w:tabs>
        <w:tab w:val="center" w:pos="4819"/>
        <w:tab w:val="right" w:pos="9071"/>
      </w:tabs>
      <w:jc w:val="both"/>
    </w:pPr>
    <w:rPr>
      <w:rFonts w:ascii="Helvetica" w:hAnsi="Helvetica"/>
      <w:sz w:val="20"/>
    </w:rPr>
  </w:style>
  <w:style w:type="paragraph" w:styleId="BodyTextIndent">
    <w:name w:val="Body Text Indent"/>
    <w:basedOn w:val="Normal"/>
    <w:rsid w:val="00BF7B2C"/>
    <w:pPr>
      <w:ind w:left="720"/>
    </w:pPr>
    <w:rPr>
      <w:sz w:val="28"/>
    </w:rPr>
  </w:style>
  <w:style w:type="paragraph" w:styleId="BodyText2">
    <w:name w:val="Body Text 2"/>
    <w:basedOn w:val="Normal"/>
    <w:rsid w:val="00BF7B2C"/>
    <w:pPr>
      <w:tabs>
        <w:tab w:val="left" w:pos="720"/>
        <w:tab w:val="left" w:pos="1440"/>
        <w:tab w:val="left" w:pos="5760"/>
        <w:tab w:val="left" w:pos="6480"/>
      </w:tabs>
      <w:jc w:val="both"/>
    </w:pPr>
  </w:style>
  <w:style w:type="paragraph" w:styleId="BodyTextIndent2">
    <w:name w:val="Body Text Indent 2"/>
    <w:basedOn w:val="Normal"/>
    <w:rsid w:val="00BF7B2C"/>
    <w:pPr>
      <w:ind w:left="720"/>
    </w:pPr>
  </w:style>
  <w:style w:type="paragraph" w:styleId="BodyTextIndent3">
    <w:name w:val="Body Text Indent 3"/>
    <w:basedOn w:val="Normal"/>
    <w:rsid w:val="00BF7B2C"/>
    <w:pPr>
      <w:tabs>
        <w:tab w:val="left" w:pos="720"/>
        <w:tab w:val="left" w:pos="1440"/>
        <w:tab w:val="left" w:pos="5760"/>
        <w:tab w:val="left" w:pos="6480"/>
      </w:tabs>
      <w:ind w:left="720" w:hanging="720"/>
      <w:jc w:val="both"/>
    </w:pPr>
  </w:style>
  <w:style w:type="paragraph" w:styleId="BlockText">
    <w:name w:val="Block Text"/>
    <w:basedOn w:val="Normal"/>
    <w:rsid w:val="00BF7B2C"/>
    <w:pPr>
      <w:tabs>
        <w:tab w:val="left" w:pos="720"/>
        <w:tab w:val="left" w:pos="1440"/>
        <w:tab w:val="left" w:pos="2160"/>
        <w:tab w:val="left" w:pos="5760"/>
        <w:tab w:val="left" w:pos="6480"/>
      </w:tabs>
      <w:spacing w:line="240" w:lineRule="atLeast"/>
      <w:ind w:left="720" w:right="-25" w:hanging="720"/>
      <w:jc w:val="both"/>
    </w:pPr>
    <w:rPr>
      <w:rFonts w:ascii="Helvetica" w:hAnsi="Helvetica"/>
      <w:sz w:val="20"/>
    </w:rPr>
  </w:style>
  <w:style w:type="paragraph" w:styleId="BodyText3">
    <w:name w:val="Body Text 3"/>
    <w:basedOn w:val="Normal"/>
    <w:rsid w:val="00BF7B2C"/>
    <w:pPr>
      <w:jc w:val="both"/>
    </w:pPr>
    <w:rPr>
      <w:rFonts w:ascii="Times New Roman" w:hAnsi="Times New Roman"/>
      <w:sz w:val="28"/>
    </w:rPr>
  </w:style>
  <w:style w:type="paragraph" w:styleId="Title">
    <w:name w:val="Title"/>
    <w:basedOn w:val="Normal"/>
    <w:qFormat/>
    <w:rsid w:val="00BF7B2C"/>
    <w:pPr>
      <w:jc w:val="center"/>
    </w:pPr>
    <w:rPr>
      <w:b/>
      <w:sz w:val="20"/>
    </w:rPr>
  </w:style>
  <w:style w:type="character" w:styleId="PageNumber">
    <w:name w:val="page number"/>
    <w:basedOn w:val="DefaultParagraphFont"/>
    <w:rsid w:val="00BF7B2C"/>
  </w:style>
  <w:style w:type="paragraph" w:styleId="ListParagraph">
    <w:name w:val="List Paragraph"/>
    <w:basedOn w:val="Normal"/>
    <w:uiPriority w:val="34"/>
    <w:qFormat/>
    <w:rsid w:val="00E91739"/>
    <w:pPr>
      <w:ind w:left="720"/>
      <w:contextualSpacing/>
    </w:pPr>
  </w:style>
  <w:style w:type="paragraph" w:styleId="Caption">
    <w:name w:val="caption"/>
    <w:basedOn w:val="Normal"/>
    <w:next w:val="Normal"/>
    <w:qFormat/>
    <w:rsid w:val="00E91739"/>
    <w:rPr>
      <w:u w:val="single"/>
      <w:lang w:eastAsia="en-US"/>
    </w:rPr>
  </w:style>
  <w:style w:type="table" w:styleId="TableGrid">
    <w:name w:val="Table Grid"/>
    <w:basedOn w:val="TableNormal"/>
    <w:rsid w:val="00CA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A4D2A"/>
    <w:rPr>
      <w:sz w:val="16"/>
      <w:szCs w:val="16"/>
    </w:rPr>
  </w:style>
  <w:style w:type="paragraph" w:styleId="CommentText">
    <w:name w:val="annotation text"/>
    <w:basedOn w:val="Normal"/>
    <w:link w:val="CommentTextChar"/>
    <w:rsid w:val="00CA4D2A"/>
    <w:rPr>
      <w:sz w:val="20"/>
    </w:rPr>
  </w:style>
  <w:style w:type="character" w:customStyle="1" w:styleId="CommentTextChar">
    <w:name w:val="Comment Text Char"/>
    <w:basedOn w:val="DefaultParagraphFont"/>
    <w:link w:val="CommentText"/>
    <w:rsid w:val="00CA4D2A"/>
    <w:rPr>
      <w:rFonts w:ascii="Arial" w:hAnsi="Arial"/>
    </w:rPr>
  </w:style>
  <w:style w:type="paragraph" w:styleId="BalloonText">
    <w:name w:val="Balloon Text"/>
    <w:basedOn w:val="Normal"/>
    <w:link w:val="BalloonTextChar"/>
    <w:rsid w:val="00CA4D2A"/>
    <w:rPr>
      <w:rFonts w:ascii="Tahoma" w:hAnsi="Tahoma" w:cs="Tahoma"/>
      <w:sz w:val="16"/>
      <w:szCs w:val="16"/>
    </w:rPr>
  </w:style>
  <w:style w:type="character" w:customStyle="1" w:styleId="BalloonTextChar">
    <w:name w:val="Balloon Text Char"/>
    <w:basedOn w:val="DefaultParagraphFont"/>
    <w:link w:val="BalloonText"/>
    <w:rsid w:val="00CA4D2A"/>
    <w:rPr>
      <w:rFonts w:ascii="Tahoma" w:hAnsi="Tahoma" w:cs="Tahoma"/>
      <w:sz w:val="16"/>
      <w:szCs w:val="16"/>
    </w:rPr>
  </w:style>
  <w:style w:type="character" w:styleId="Hyperlink">
    <w:name w:val="Hyperlink"/>
    <w:basedOn w:val="DefaultParagraphFont"/>
    <w:rsid w:val="00DB2F46"/>
    <w:rPr>
      <w:color w:val="0000FF"/>
      <w:u w:val="single"/>
    </w:rPr>
  </w:style>
  <w:style w:type="character" w:customStyle="1" w:styleId="HeaderChar">
    <w:name w:val="Header Char"/>
    <w:basedOn w:val="DefaultParagraphFont"/>
    <w:link w:val="Header"/>
    <w:uiPriority w:val="99"/>
    <w:rsid w:val="001D15EB"/>
    <w:rPr>
      <w:rFonts w:ascii="Helvetica" w:hAnsi="Helvetica"/>
    </w:rPr>
  </w:style>
  <w:style w:type="character" w:customStyle="1" w:styleId="FooterChar">
    <w:name w:val="Footer Char"/>
    <w:basedOn w:val="DefaultParagraphFont"/>
    <w:link w:val="Footer"/>
    <w:uiPriority w:val="99"/>
    <w:rsid w:val="001D15EB"/>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720"/>
        <w:tab w:val="left" w:pos="1440"/>
        <w:tab w:val="left" w:pos="2160"/>
        <w:tab w:val="left" w:pos="5760"/>
        <w:tab w:val="left" w:pos="6480"/>
      </w:tabs>
      <w:ind w:right="-25"/>
      <w:jc w:val="both"/>
      <w:outlineLvl w:val="0"/>
    </w:pPr>
    <w:rPr>
      <w:rFonts w:ascii="Helvetica" w:hAnsi="Helvetica"/>
      <w:b/>
      <w:sz w:val="20"/>
    </w:rPr>
  </w:style>
  <w:style w:type="paragraph" w:styleId="Heading2">
    <w:name w:val="heading 2"/>
    <w:basedOn w:val="Normal"/>
    <w:next w:val="Normal"/>
    <w:qFormat/>
    <w:pPr>
      <w:keepNext/>
      <w:tabs>
        <w:tab w:val="left" w:pos="720"/>
        <w:tab w:val="left" w:pos="1440"/>
        <w:tab w:val="left" w:pos="2160"/>
        <w:tab w:val="left" w:pos="5760"/>
        <w:tab w:val="left" w:pos="6480"/>
      </w:tabs>
      <w:spacing w:line="240" w:lineRule="atLeast"/>
      <w:ind w:right="-25"/>
      <w:jc w:val="right"/>
      <w:outlineLvl w:val="1"/>
    </w:pPr>
    <w:rPr>
      <w:rFonts w:ascii="Helvetica" w:hAnsi="Helvetica"/>
      <w:b/>
      <w:sz w:val="24"/>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b/>
    </w:rPr>
  </w:style>
  <w:style w:type="paragraph" w:styleId="Heading4">
    <w:name w:val="heading 4"/>
    <w:basedOn w:val="Normal"/>
    <w:next w:val="Normal"/>
    <w:qFormat/>
    <w:pPr>
      <w:keepNext/>
      <w:ind w:left="720"/>
      <w:outlineLvl w:val="3"/>
    </w:pPr>
    <w:rPr>
      <w:i/>
    </w:rPr>
  </w:style>
  <w:style w:type="paragraph" w:styleId="Heading5">
    <w:name w:val="heading 5"/>
    <w:basedOn w:val="Normal"/>
    <w:next w:val="Normal"/>
    <w:qFormat/>
    <w:pPr>
      <w:keepNext/>
      <w:tabs>
        <w:tab w:val="left" w:pos="720"/>
        <w:tab w:val="left" w:pos="1440"/>
        <w:tab w:val="left" w:pos="5760"/>
        <w:tab w:val="left" w:pos="6480"/>
      </w:tabs>
      <w:jc w:val="center"/>
      <w:outlineLvl w:val="4"/>
    </w:pPr>
    <w:rPr>
      <w:b/>
      <w:sz w:val="28"/>
      <w:u w:val="single"/>
    </w:rPr>
  </w:style>
  <w:style w:type="paragraph" w:styleId="Heading6">
    <w:name w:val="heading 6"/>
    <w:basedOn w:val="Normal"/>
    <w:next w:val="Normal"/>
    <w:qFormat/>
    <w:pPr>
      <w:keepNext/>
      <w:tabs>
        <w:tab w:val="left" w:pos="720"/>
        <w:tab w:val="left" w:pos="1440"/>
        <w:tab w:val="left" w:pos="5760"/>
        <w:tab w:val="left" w:pos="6480"/>
      </w:tabs>
      <w:jc w:val="both"/>
      <w:outlineLvl w:val="5"/>
    </w:pPr>
    <w:rPr>
      <w:sz w:val="28"/>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jc w:val="center"/>
      <w:outlineLvl w:val="6"/>
    </w:pPr>
    <w:rPr>
      <w:b/>
      <w:sz w:val="28"/>
    </w:rPr>
  </w:style>
  <w:style w:type="paragraph" w:styleId="Heading8">
    <w:name w:val="heading 8"/>
    <w:basedOn w:val="Normal"/>
    <w:next w:val="Normal"/>
    <w:qFormat/>
    <w:pPr>
      <w:keepNext/>
      <w:tabs>
        <w:tab w:val="left" w:pos="2160"/>
        <w:tab w:val="left" w:pos="6480"/>
      </w:tabs>
      <w:spacing w:line="240" w:lineRule="atLeast"/>
      <w:ind w:left="720" w:right="-25" w:hanging="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071"/>
      </w:tabs>
      <w:jc w:val="both"/>
    </w:pPr>
    <w:rPr>
      <w:rFonts w:ascii="Helvetica" w:hAnsi="Helvetica"/>
      <w:sz w:val="20"/>
    </w:rPr>
  </w:style>
  <w:style w:type="paragraph" w:styleId="BodyText">
    <w:name w:val="Body Text"/>
    <w:basedOn w:val="Normal"/>
    <w:pPr>
      <w:tabs>
        <w:tab w:val="left" w:pos="702"/>
        <w:tab w:val="left" w:pos="1440"/>
        <w:tab w:val="left" w:pos="2160"/>
        <w:tab w:val="left" w:pos="5760"/>
        <w:tab w:val="left" w:pos="6480"/>
      </w:tabs>
      <w:spacing w:line="240" w:lineRule="atLeast"/>
      <w:ind w:right="-25"/>
      <w:jc w:val="both"/>
    </w:pPr>
    <w:rPr>
      <w:rFonts w:ascii="Helvetica" w:hAnsi="Helvetica"/>
      <w:sz w:val="20"/>
    </w:rPr>
  </w:style>
  <w:style w:type="paragraph" w:styleId="Footer">
    <w:name w:val="footer"/>
    <w:basedOn w:val="Normal"/>
    <w:link w:val="FooterChar"/>
    <w:uiPriority w:val="99"/>
    <w:pPr>
      <w:tabs>
        <w:tab w:val="center" w:pos="4819"/>
        <w:tab w:val="right" w:pos="9071"/>
      </w:tabs>
      <w:jc w:val="both"/>
    </w:pPr>
    <w:rPr>
      <w:rFonts w:ascii="Helvetica" w:hAnsi="Helvetica"/>
      <w:sz w:val="20"/>
    </w:rPr>
  </w:style>
  <w:style w:type="paragraph" w:styleId="BodyTextIndent">
    <w:name w:val="Body Text Indent"/>
    <w:basedOn w:val="Normal"/>
    <w:pPr>
      <w:ind w:left="720"/>
    </w:pPr>
    <w:rPr>
      <w:sz w:val="28"/>
    </w:rPr>
  </w:style>
  <w:style w:type="paragraph" w:styleId="BodyText2">
    <w:name w:val="Body Text 2"/>
    <w:basedOn w:val="Normal"/>
    <w:pPr>
      <w:tabs>
        <w:tab w:val="left" w:pos="720"/>
        <w:tab w:val="left" w:pos="1440"/>
        <w:tab w:val="left" w:pos="5760"/>
        <w:tab w:val="left" w:pos="6480"/>
      </w:tabs>
      <w:jc w:val="both"/>
    </w:pPr>
  </w:style>
  <w:style w:type="paragraph" w:styleId="BodyTextIndent2">
    <w:name w:val="Body Text Indent 2"/>
    <w:basedOn w:val="Normal"/>
    <w:pPr>
      <w:ind w:left="720"/>
    </w:pPr>
  </w:style>
  <w:style w:type="paragraph" w:styleId="BodyTextIndent3">
    <w:name w:val="Body Text Indent 3"/>
    <w:basedOn w:val="Normal"/>
    <w:pPr>
      <w:tabs>
        <w:tab w:val="left" w:pos="720"/>
        <w:tab w:val="left" w:pos="1440"/>
        <w:tab w:val="left" w:pos="5760"/>
        <w:tab w:val="left" w:pos="6480"/>
      </w:tabs>
      <w:ind w:left="720" w:hanging="720"/>
      <w:jc w:val="both"/>
    </w:pPr>
  </w:style>
  <w:style w:type="paragraph" w:styleId="BlockText">
    <w:name w:val="Block Text"/>
    <w:basedOn w:val="Normal"/>
    <w:pPr>
      <w:tabs>
        <w:tab w:val="left" w:pos="720"/>
        <w:tab w:val="left" w:pos="1440"/>
        <w:tab w:val="left" w:pos="2160"/>
        <w:tab w:val="left" w:pos="5760"/>
        <w:tab w:val="left" w:pos="6480"/>
      </w:tabs>
      <w:spacing w:line="240" w:lineRule="atLeast"/>
      <w:ind w:left="720" w:right="-25" w:hanging="720"/>
      <w:jc w:val="both"/>
    </w:pPr>
    <w:rPr>
      <w:rFonts w:ascii="Helvetica" w:hAnsi="Helvetica"/>
      <w:sz w:val="20"/>
    </w:rPr>
  </w:style>
  <w:style w:type="paragraph" w:styleId="BodyText3">
    <w:name w:val="Body Text 3"/>
    <w:basedOn w:val="Normal"/>
    <w:pPr>
      <w:jc w:val="both"/>
    </w:pPr>
    <w:rPr>
      <w:rFonts w:ascii="Times New Roman" w:hAnsi="Times New Roman"/>
      <w:sz w:val="28"/>
    </w:rPr>
  </w:style>
  <w:style w:type="paragraph" w:styleId="Title">
    <w:name w:val="Title"/>
    <w:basedOn w:val="Normal"/>
    <w:qFormat/>
    <w:pPr>
      <w:jc w:val="center"/>
    </w:pPr>
    <w:rPr>
      <w:b/>
      <w:sz w:val="20"/>
    </w:rPr>
  </w:style>
  <w:style w:type="character" w:styleId="PageNumber">
    <w:name w:val="page number"/>
    <w:basedOn w:val="DefaultParagraphFont"/>
  </w:style>
  <w:style w:type="paragraph" w:styleId="ListParagraph">
    <w:name w:val="List Paragraph"/>
    <w:basedOn w:val="Normal"/>
    <w:uiPriority w:val="34"/>
    <w:qFormat/>
    <w:rsid w:val="00E91739"/>
    <w:pPr>
      <w:ind w:left="720"/>
      <w:contextualSpacing/>
    </w:pPr>
  </w:style>
  <w:style w:type="paragraph" w:styleId="Caption">
    <w:name w:val="caption"/>
    <w:basedOn w:val="Normal"/>
    <w:next w:val="Normal"/>
    <w:qFormat/>
    <w:rsid w:val="00E91739"/>
    <w:rPr>
      <w:u w:val="single"/>
      <w:lang w:eastAsia="en-US"/>
    </w:rPr>
  </w:style>
  <w:style w:type="table" w:styleId="TableGrid">
    <w:name w:val="Table Grid"/>
    <w:basedOn w:val="TableNormal"/>
    <w:rsid w:val="00CA4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A4D2A"/>
    <w:rPr>
      <w:sz w:val="16"/>
      <w:szCs w:val="16"/>
    </w:rPr>
  </w:style>
  <w:style w:type="paragraph" w:styleId="CommentText">
    <w:name w:val="annotation text"/>
    <w:basedOn w:val="Normal"/>
    <w:link w:val="CommentTextChar"/>
    <w:rsid w:val="00CA4D2A"/>
    <w:rPr>
      <w:sz w:val="20"/>
    </w:rPr>
  </w:style>
  <w:style w:type="character" w:customStyle="1" w:styleId="CommentTextChar">
    <w:name w:val="Comment Text Char"/>
    <w:basedOn w:val="DefaultParagraphFont"/>
    <w:link w:val="CommentText"/>
    <w:rsid w:val="00CA4D2A"/>
    <w:rPr>
      <w:rFonts w:ascii="Arial" w:hAnsi="Arial"/>
    </w:rPr>
  </w:style>
  <w:style w:type="paragraph" w:styleId="BalloonText">
    <w:name w:val="Balloon Text"/>
    <w:basedOn w:val="Normal"/>
    <w:link w:val="BalloonTextChar"/>
    <w:rsid w:val="00CA4D2A"/>
    <w:rPr>
      <w:rFonts w:ascii="Tahoma" w:hAnsi="Tahoma" w:cs="Tahoma"/>
      <w:sz w:val="16"/>
      <w:szCs w:val="16"/>
    </w:rPr>
  </w:style>
  <w:style w:type="character" w:customStyle="1" w:styleId="BalloonTextChar">
    <w:name w:val="Balloon Text Char"/>
    <w:basedOn w:val="DefaultParagraphFont"/>
    <w:link w:val="BalloonText"/>
    <w:rsid w:val="00CA4D2A"/>
    <w:rPr>
      <w:rFonts w:ascii="Tahoma" w:hAnsi="Tahoma" w:cs="Tahoma"/>
      <w:sz w:val="16"/>
      <w:szCs w:val="16"/>
    </w:rPr>
  </w:style>
  <w:style w:type="character" w:styleId="Hyperlink">
    <w:name w:val="Hyperlink"/>
    <w:basedOn w:val="DefaultParagraphFont"/>
    <w:rsid w:val="00DB2F46"/>
    <w:rPr>
      <w:color w:val="0000FF"/>
      <w:u w:val="single"/>
    </w:rPr>
  </w:style>
  <w:style w:type="character" w:customStyle="1" w:styleId="HeaderChar">
    <w:name w:val="Header Char"/>
    <w:basedOn w:val="DefaultParagraphFont"/>
    <w:link w:val="Header"/>
    <w:uiPriority w:val="99"/>
    <w:rsid w:val="001D15EB"/>
    <w:rPr>
      <w:rFonts w:ascii="Helvetica" w:hAnsi="Helvetica"/>
    </w:rPr>
  </w:style>
  <w:style w:type="character" w:customStyle="1" w:styleId="FooterChar">
    <w:name w:val="Footer Char"/>
    <w:basedOn w:val="DefaultParagraphFont"/>
    <w:link w:val="Footer"/>
    <w:uiPriority w:val="99"/>
    <w:rsid w:val="001D15EB"/>
    <w:rPr>
      <w:rFonts w:ascii="Helvetica" w:hAnsi="Helvetica"/>
    </w:rPr>
  </w:style>
</w:styles>
</file>

<file path=word/webSettings.xml><?xml version="1.0" encoding="utf-8"?>
<w:webSettings xmlns:r="http://schemas.openxmlformats.org/officeDocument/2006/relationships" xmlns:w="http://schemas.openxmlformats.org/wordprocessingml/2006/main">
  <w:divs>
    <w:div w:id="156849774">
      <w:bodyDiv w:val="1"/>
      <w:marLeft w:val="0"/>
      <w:marRight w:val="0"/>
      <w:marTop w:val="0"/>
      <w:marBottom w:val="0"/>
      <w:divBdr>
        <w:top w:val="none" w:sz="0" w:space="0" w:color="auto"/>
        <w:left w:val="none" w:sz="0" w:space="0" w:color="auto"/>
        <w:bottom w:val="none" w:sz="0" w:space="0" w:color="auto"/>
        <w:right w:val="none" w:sz="0" w:space="0" w:color="auto"/>
      </w:divBdr>
    </w:div>
    <w:div w:id="175123712">
      <w:bodyDiv w:val="1"/>
      <w:marLeft w:val="0"/>
      <w:marRight w:val="0"/>
      <w:marTop w:val="0"/>
      <w:marBottom w:val="0"/>
      <w:divBdr>
        <w:top w:val="none" w:sz="0" w:space="0" w:color="auto"/>
        <w:left w:val="none" w:sz="0" w:space="0" w:color="auto"/>
        <w:bottom w:val="none" w:sz="0" w:space="0" w:color="auto"/>
        <w:right w:val="none" w:sz="0" w:space="0" w:color="auto"/>
      </w:divBdr>
    </w:div>
    <w:div w:id="215513977">
      <w:bodyDiv w:val="1"/>
      <w:marLeft w:val="0"/>
      <w:marRight w:val="0"/>
      <w:marTop w:val="0"/>
      <w:marBottom w:val="0"/>
      <w:divBdr>
        <w:top w:val="none" w:sz="0" w:space="0" w:color="auto"/>
        <w:left w:val="none" w:sz="0" w:space="0" w:color="auto"/>
        <w:bottom w:val="none" w:sz="0" w:space="0" w:color="auto"/>
        <w:right w:val="none" w:sz="0" w:space="0" w:color="auto"/>
      </w:divBdr>
    </w:div>
    <w:div w:id="1132359929">
      <w:bodyDiv w:val="1"/>
      <w:marLeft w:val="0"/>
      <w:marRight w:val="0"/>
      <w:marTop w:val="0"/>
      <w:marBottom w:val="0"/>
      <w:divBdr>
        <w:top w:val="none" w:sz="0" w:space="0" w:color="auto"/>
        <w:left w:val="none" w:sz="0" w:space="0" w:color="auto"/>
        <w:bottom w:val="none" w:sz="0" w:space="0" w:color="auto"/>
        <w:right w:val="none" w:sz="0" w:space="0" w:color="auto"/>
      </w:divBdr>
    </w:div>
    <w:div w:id="1283852323">
      <w:bodyDiv w:val="1"/>
      <w:marLeft w:val="0"/>
      <w:marRight w:val="0"/>
      <w:marTop w:val="0"/>
      <w:marBottom w:val="0"/>
      <w:divBdr>
        <w:top w:val="none" w:sz="0" w:space="0" w:color="auto"/>
        <w:left w:val="none" w:sz="0" w:space="0" w:color="auto"/>
        <w:bottom w:val="none" w:sz="0" w:space="0" w:color="auto"/>
        <w:right w:val="none" w:sz="0" w:space="0" w:color="auto"/>
      </w:divBdr>
    </w:div>
    <w:div w:id="1551962217">
      <w:bodyDiv w:val="1"/>
      <w:marLeft w:val="0"/>
      <w:marRight w:val="0"/>
      <w:marTop w:val="0"/>
      <w:marBottom w:val="0"/>
      <w:divBdr>
        <w:top w:val="none" w:sz="0" w:space="0" w:color="auto"/>
        <w:left w:val="none" w:sz="0" w:space="0" w:color="auto"/>
        <w:bottom w:val="none" w:sz="0" w:space="0" w:color="auto"/>
        <w:right w:val="none" w:sz="0" w:space="0" w:color="auto"/>
      </w:divBdr>
    </w:div>
    <w:div w:id="1809318285">
      <w:bodyDiv w:val="1"/>
      <w:marLeft w:val="0"/>
      <w:marRight w:val="0"/>
      <w:marTop w:val="0"/>
      <w:marBottom w:val="0"/>
      <w:divBdr>
        <w:top w:val="none" w:sz="0" w:space="0" w:color="auto"/>
        <w:left w:val="none" w:sz="0" w:space="0" w:color="auto"/>
        <w:bottom w:val="none" w:sz="0" w:space="0" w:color="auto"/>
        <w:right w:val="none" w:sz="0" w:space="0" w:color="auto"/>
      </w:divBdr>
    </w:div>
    <w:div w:id="1960991582">
      <w:bodyDiv w:val="1"/>
      <w:marLeft w:val="0"/>
      <w:marRight w:val="0"/>
      <w:marTop w:val="0"/>
      <w:marBottom w:val="0"/>
      <w:divBdr>
        <w:top w:val="none" w:sz="0" w:space="0" w:color="auto"/>
        <w:left w:val="none" w:sz="0" w:space="0" w:color="auto"/>
        <w:bottom w:val="none" w:sz="0" w:space="0" w:color="auto"/>
        <w:right w:val="none" w:sz="0" w:space="0" w:color="auto"/>
      </w:divBdr>
    </w:div>
    <w:div w:id="19829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robinson@north-herts.gov.uk" TargetMode="External"/><Relationship Id="rId13" Type="http://schemas.openxmlformats.org/officeDocument/2006/relationships/hyperlink" Target="mailto:fiona.timms@north-herts.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thony.roche@north-hert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id.scholes@north-hert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ciampa@north-herts.gov.uk" TargetMode="External"/><Relationship Id="rId5" Type="http://schemas.openxmlformats.org/officeDocument/2006/relationships/webSettings" Target="webSettings.xml"/><Relationship Id="rId15" Type="http://schemas.openxmlformats.org/officeDocument/2006/relationships/hyperlink" Target="mailto:kerry.shorrocks@north-herts.gov.uk" TargetMode="External"/><Relationship Id="rId10" Type="http://schemas.openxmlformats.org/officeDocument/2006/relationships/hyperlink" Target="mailto:jack.hughes@north-herts.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eve.crowley@north-herts.gov.uk" TargetMode="External"/><Relationship Id="rId14" Type="http://schemas.openxmlformats.org/officeDocument/2006/relationships/hyperlink" Target="mailto:liz.green@north-herts.gov.uk"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0154-7AC1-4874-BBAE-3C6764D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REVISED RECOMMENDED TEMPLATE</vt:lpstr>
    </vt:vector>
  </TitlesOfParts>
  <Company>North Herts District Council</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RECOMMENDED TEMPLATE</dc:title>
  <dc:creator>I.T Services</dc:creator>
  <cp:lastModifiedBy>mike clarke</cp:lastModifiedBy>
  <cp:revision>2</cp:revision>
  <cp:lastPrinted>2015-07-09T13:29:00Z</cp:lastPrinted>
  <dcterms:created xsi:type="dcterms:W3CDTF">2015-07-18T13:53:00Z</dcterms:created>
  <dcterms:modified xsi:type="dcterms:W3CDTF">2015-07-18T13:53:00Z</dcterms:modified>
</cp:coreProperties>
</file>